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8" w:rsidRPr="00EB0B3C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 w:rsidRPr="00EB0B3C">
        <w:rPr>
          <w:b/>
          <w:sz w:val="28"/>
          <w:szCs w:val="28"/>
        </w:rPr>
        <w:t>МИНИСТЕРСТВО ЭКОНОМИЧЕСКОГО РАЗВИТИЯ</w:t>
      </w:r>
    </w:p>
    <w:p w:rsidR="007065E8" w:rsidRPr="00EB0B3C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 w:rsidRPr="00EB0B3C">
        <w:rPr>
          <w:b/>
          <w:sz w:val="28"/>
          <w:szCs w:val="28"/>
        </w:rPr>
        <w:t>ТВЕРСКОЙ ОБЛАСТИ</w:t>
      </w: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28"/>
          <w:szCs w:val="28"/>
        </w:rPr>
      </w:pPr>
    </w:p>
    <w:p w:rsidR="007065E8" w:rsidRPr="00EB0B3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EB0B3C">
        <w:rPr>
          <w:b/>
          <w:sz w:val="32"/>
          <w:szCs w:val="32"/>
        </w:rPr>
        <w:t>ДОКЛАД</w:t>
      </w:r>
    </w:p>
    <w:p w:rsidR="007065E8" w:rsidRPr="00EB0B3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EB0B3C">
        <w:rPr>
          <w:b/>
          <w:sz w:val="32"/>
          <w:szCs w:val="32"/>
        </w:rPr>
        <w:t xml:space="preserve">ОБ ИСПОЛНЕНИИ ОСНОВНЫХ ПОКАЗАТЕЛЕЙ </w:t>
      </w:r>
    </w:p>
    <w:p w:rsidR="007065E8" w:rsidRPr="00EB0B3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EB0B3C">
        <w:rPr>
          <w:b/>
          <w:sz w:val="32"/>
          <w:szCs w:val="32"/>
        </w:rPr>
        <w:t>ПРОГНОЗА СОЦИАЛЬНО-ЭКОНОМИЧЕСКОГО РАЗВИТИЯ</w:t>
      </w:r>
    </w:p>
    <w:p w:rsidR="007065E8" w:rsidRPr="00EB0B3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EB0B3C">
        <w:rPr>
          <w:b/>
          <w:sz w:val="32"/>
          <w:szCs w:val="32"/>
        </w:rPr>
        <w:t>ТВЕРСКОЙ ОБЛАСТИ НА 20</w:t>
      </w:r>
      <w:r w:rsidR="00503BFD" w:rsidRPr="00EB0B3C">
        <w:rPr>
          <w:b/>
          <w:sz w:val="32"/>
          <w:szCs w:val="32"/>
        </w:rPr>
        <w:t>1</w:t>
      </w:r>
      <w:r w:rsidR="006C2780">
        <w:rPr>
          <w:b/>
          <w:sz w:val="32"/>
          <w:szCs w:val="32"/>
        </w:rPr>
        <w:t>5</w:t>
      </w:r>
      <w:r w:rsidRPr="00EB0B3C">
        <w:rPr>
          <w:b/>
          <w:sz w:val="32"/>
          <w:szCs w:val="32"/>
        </w:rPr>
        <w:t xml:space="preserve"> ГОД </w:t>
      </w: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EB0B3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A63B44" w:rsidRDefault="00A63B44" w:rsidP="00C9637A">
      <w:pPr>
        <w:tabs>
          <w:tab w:val="left" w:pos="4820"/>
        </w:tabs>
        <w:spacing w:line="312" w:lineRule="auto"/>
        <w:ind w:firstLine="720"/>
        <w:rPr>
          <w:b/>
          <w:sz w:val="32"/>
          <w:szCs w:val="32"/>
        </w:rPr>
      </w:pPr>
    </w:p>
    <w:p w:rsidR="007065E8" w:rsidRPr="00EB0B3C" w:rsidRDefault="007065E8" w:rsidP="00A63B44">
      <w:pPr>
        <w:tabs>
          <w:tab w:val="left" w:pos="4820"/>
        </w:tabs>
        <w:spacing w:line="312" w:lineRule="auto"/>
        <w:jc w:val="center"/>
        <w:rPr>
          <w:b/>
          <w:sz w:val="32"/>
          <w:szCs w:val="32"/>
        </w:rPr>
      </w:pPr>
      <w:r w:rsidRPr="00EB0B3C">
        <w:rPr>
          <w:b/>
          <w:sz w:val="32"/>
          <w:szCs w:val="32"/>
        </w:rPr>
        <w:t>г. Тверь</w:t>
      </w:r>
    </w:p>
    <w:p w:rsidR="007065E8" w:rsidRPr="00EB0B3C" w:rsidRDefault="00EB0B3C" w:rsidP="00A63B44">
      <w:pPr>
        <w:tabs>
          <w:tab w:val="left" w:pos="4820"/>
        </w:tabs>
        <w:spacing w:line="312" w:lineRule="auto"/>
        <w:jc w:val="center"/>
        <w:rPr>
          <w:b/>
          <w:sz w:val="32"/>
          <w:szCs w:val="32"/>
        </w:rPr>
      </w:pPr>
      <w:r w:rsidRPr="00EB0B3C">
        <w:rPr>
          <w:b/>
          <w:sz w:val="32"/>
          <w:szCs w:val="32"/>
        </w:rPr>
        <w:t>март</w:t>
      </w:r>
      <w:r w:rsidR="007065E8" w:rsidRPr="00EB0B3C">
        <w:rPr>
          <w:b/>
          <w:sz w:val="32"/>
          <w:szCs w:val="32"/>
        </w:rPr>
        <w:t xml:space="preserve"> 20</w:t>
      </w:r>
      <w:r w:rsidR="00503BFD" w:rsidRPr="00EB0B3C">
        <w:rPr>
          <w:b/>
          <w:sz w:val="32"/>
          <w:szCs w:val="32"/>
        </w:rPr>
        <w:t>1</w:t>
      </w:r>
      <w:r w:rsidR="006C2780">
        <w:rPr>
          <w:b/>
          <w:sz w:val="32"/>
          <w:szCs w:val="32"/>
        </w:rPr>
        <w:t>6</w:t>
      </w:r>
      <w:r w:rsidR="007065E8" w:rsidRPr="00EB0B3C">
        <w:rPr>
          <w:b/>
          <w:sz w:val="32"/>
          <w:szCs w:val="32"/>
        </w:rPr>
        <w:t xml:space="preserve"> год</w:t>
      </w:r>
      <w:r w:rsidR="00503BFD" w:rsidRPr="00EB0B3C">
        <w:rPr>
          <w:b/>
          <w:sz w:val="32"/>
          <w:szCs w:val="32"/>
        </w:rPr>
        <w:t>а</w:t>
      </w:r>
    </w:p>
    <w:p w:rsidR="007065E8" w:rsidRPr="00B37E32" w:rsidRDefault="007065E8" w:rsidP="007065E8">
      <w:pPr>
        <w:ind w:firstLine="709"/>
        <w:jc w:val="both"/>
        <w:rPr>
          <w:sz w:val="28"/>
          <w:szCs w:val="28"/>
        </w:rPr>
      </w:pPr>
      <w:r w:rsidRPr="008E76B3">
        <w:rPr>
          <w:sz w:val="28"/>
          <w:szCs w:val="28"/>
        </w:rPr>
        <w:lastRenderedPageBreak/>
        <w:t>Основные показатели прогноза социально-экономического р</w:t>
      </w:r>
      <w:r w:rsidR="00F6187C" w:rsidRPr="008E76B3">
        <w:rPr>
          <w:sz w:val="28"/>
          <w:szCs w:val="28"/>
        </w:rPr>
        <w:t xml:space="preserve">азвития Тверской </w:t>
      </w:r>
      <w:r w:rsidR="00F6187C" w:rsidRPr="00B37E32">
        <w:rPr>
          <w:sz w:val="28"/>
          <w:szCs w:val="28"/>
        </w:rPr>
        <w:t>области на 201</w:t>
      </w:r>
      <w:r w:rsidR="008E76B3" w:rsidRPr="00B37E32">
        <w:rPr>
          <w:sz w:val="28"/>
          <w:szCs w:val="28"/>
        </w:rPr>
        <w:t>5</w:t>
      </w:r>
      <w:r w:rsidR="00F6187C" w:rsidRPr="00B37E32">
        <w:rPr>
          <w:sz w:val="28"/>
          <w:szCs w:val="28"/>
        </w:rPr>
        <w:t xml:space="preserve"> год и плановый период 201</w:t>
      </w:r>
      <w:r w:rsidR="008E76B3" w:rsidRPr="00B37E32">
        <w:rPr>
          <w:sz w:val="28"/>
          <w:szCs w:val="28"/>
        </w:rPr>
        <w:t>6</w:t>
      </w:r>
      <w:r w:rsidR="00F6187C" w:rsidRPr="00B37E32">
        <w:rPr>
          <w:sz w:val="28"/>
          <w:szCs w:val="28"/>
        </w:rPr>
        <w:t xml:space="preserve"> и 20</w:t>
      </w:r>
      <w:r w:rsidR="00917D43" w:rsidRPr="00B37E32">
        <w:rPr>
          <w:sz w:val="28"/>
          <w:szCs w:val="28"/>
        </w:rPr>
        <w:t>1</w:t>
      </w:r>
      <w:r w:rsidR="008E76B3" w:rsidRPr="00B37E32">
        <w:rPr>
          <w:sz w:val="28"/>
          <w:szCs w:val="28"/>
        </w:rPr>
        <w:t>7</w:t>
      </w:r>
      <w:r w:rsidR="00917D43" w:rsidRPr="00B37E32">
        <w:rPr>
          <w:sz w:val="28"/>
          <w:szCs w:val="28"/>
        </w:rPr>
        <w:t xml:space="preserve"> годов </w:t>
      </w:r>
      <w:r w:rsidR="00E320AE">
        <w:rPr>
          <w:sz w:val="28"/>
          <w:szCs w:val="28"/>
        </w:rPr>
        <w:t xml:space="preserve">(далее – прогноз) </w:t>
      </w:r>
      <w:r w:rsidR="00917D43" w:rsidRPr="00B37E32">
        <w:rPr>
          <w:sz w:val="28"/>
          <w:szCs w:val="28"/>
        </w:rPr>
        <w:t>были разработаны в 201</w:t>
      </w:r>
      <w:r w:rsidR="008E76B3" w:rsidRPr="00B37E32">
        <w:rPr>
          <w:sz w:val="28"/>
          <w:szCs w:val="28"/>
        </w:rPr>
        <w:t>4</w:t>
      </w:r>
      <w:r w:rsidRPr="00B37E32">
        <w:rPr>
          <w:sz w:val="28"/>
          <w:szCs w:val="28"/>
        </w:rPr>
        <w:t xml:space="preserve"> году и одобрены распоряжением Правительства Тверской </w:t>
      </w:r>
      <w:r w:rsidR="00917D43" w:rsidRPr="00B37E32">
        <w:rPr>
          <w:sz w:val="28"/>
          <w:szCs w:val="28"/>
        </w:rPr>
        <w:t xml:space="preserve">области от </w:t>
      </w:r>
      <w:r w:rsidR="008E76B3" w:rsidRPr="00B37E32">
        <w:rPr>
          <w:sz w:val="28"/>
          <w:szCs w:val="28"/>
        </w:rPr>
        <w:t>20</w:t>
      </w:r>
      <w:r w:rsidR="00917D43" w:rsidRPr="00B37E32">
        <w:rPr>
          <w:sz w:val="28"/>
          <w:szCs w:val="28"/>
        </w:rPr>
        <w:t>.10.201</w:t>
      </w:r>
      <w:r w:rsidR="008E76B3" w:rsidRPr="00B37E32">
        <w:rPr>
          <w:sz w:val="28"/>
          <w:szCs w:val="28"/>
        </w:rPr>
        <w:t>4</w:t>
      </w:r>
      <w:r w:rsidRPr="00B37E32">
        <w:rPr>
          <w:sz w:val="28"/>
          <w:szCs w:val="28"/>
        </w:rPr>
        <w:t xml:space="preserve"> </w:t>
      </w:r>
      <w:r w:rsidR="00917D43" w:rsidRPr="00B37E32">
        <w:rPr>
          <w:sz w:val="28"/>
          <w:szCs w:val="28"/>
        </w:rPr>
        <w:t xml:space="preserve">№ </w:t>
      </w:r>
      <w:r w:rsidR="008E76B3" w:rsidRPr="00B37E32">
        <w:rPr>
          <w:sz w:val="28"/>
          <w:szCs w:val="28"/>
        </w:rPr>
        <w:t>494</w:t>
      </w:r>
      <w:r w:rsidRPr="00B37E32">
        <w:rPr>
          <w:sz w:val="28"/>
          <w:szCs w:val="28"/>
        </w:rPr>
        <w:t>-рп «</w:t>
      </w:r>
      <w:r w:rsidR="008E76B3" w:rsidRPr="00B37E32">
        <w:rPr>
          <w:sz w:val="28"/>
          <w:szCs w:val="28"/>
        </w:rPr>
        <w:t>О прогнозе социально-экономического развития Тверской области на 2015 год и плановый период 2016 и 2017 годов</w:t>
      </w:r>
      <w:r w:rsidRPr="00B37E32">
        <w:rPr>
          <w:sz w:val="28"/>
          <w:szCs w:val="28"/>
        </w:rPr>
        <w:t>».</w:t>
      </w:r>
    </w:p>
    <w:p w:rsidR="00B37E32" w:rsidRPr="00E320AE" w:rsidRDefault="007065E8" w:rsidP="00B37E32">
      <w:pPr>
        <w:ind w:firstLine="709"/>
        <w:jc w:val="both"/>
        <w:rPr>
          <w:sz w:val="28"/>
          <w:szCs w:val="28"/>
        </w:rPr>
      </w:pPr>
      <w:r w:rsidRPr="00B37E32">
        <w:rPr>
          <w:sz w:val="28"/>
          <w:szCs w:val="28"/>
        </w:rPr>
        <w:t>Показатели прогноза основаны на результатах комплексного анализа экономических и социальных п</w:t>
      </w:r>
      <w:r w:rsidR="00145D34" w:rsidRPr="00B37E32">
        <w:rPr>
          <w:sz w:val="28"/>
          <w:szCs w:val="28"/>
        </w:rPr>
        <w:t>роцессов, происходящих в регионе</w:t>
      </w:r>
      <w:r w:rsidRPr="00B37E32">
        <w:rPr>
          <w:sz w:val="28"/>
          <w:szCs w:val="28"/>
        </w:rPr>
        <w:t xml:space="preserve">, </w:t>
      </w:r>
      <w:r w:rsidR="00B37E32" w:rsidRPr="00B37E32">
        <w:rPr>
          <w:sz w:val="28"/>
          <w:szCs w:val="28"/>
        </w:rPr>
        <w:t xml:space="preserve">и разработаны с учетом показателей прогноза социально-экономического развития Российской Федерации на 2015 год и плановый период 2016 и </w:t>
      </w:r>
      <w:r w:rsidR="00B37E32" w:rsidRPr="00E320AE">
        <w:rPr>
          <w:sz w:val="28"/>
          <w:szCs w:val="28"/>
        </w:rPr>
        <w:t>2017</w:t>
      </w:r>
      <w:r w:rsidR="00E320AE" w:rsidRPr="00E320AE">
        <w:rPr>
          <w:sz w:val="28"/>
          <w:szCs w:val="28"/>
        </w:rPr>
        <w:t> </w:t>
      </w:r>
      <w:r w:rsidR="00B37E32" w:rsidRPr="00E320AE">
        <w:rPr>
          <w:sz w:val="28"/>
          <w:szCs w:val="28"/>
        </w:rPr>
        <w:t>годов, утвержденных Правительством Российской Федерации 15 мая 2014</w:t>
      </w:r>
      <w:r w:rsidR="00E320AE" w:rsidRPr="00E320AE">
        <w:rPr>
          <w:sz w:val="28"/>
          <w:szCs w:val="28"/>
        </w:rPr>
        <w:t> </w:t>
      </w:r>
      <w:r w:rsidR="00B37E32" w:rsidRPr="00E320AE">
        <w:rPr>
          <w:sz w:val="28"/>
          <w:szCs w:val="28"/>
        </w:rPr>
        <w:t>года.</w:t>
      </w:r>
    </w:p>
    <w:p w:rsidR="007065E8" w:rsidRPr="00E320AE" w:rsidRDefault="007065E8" w:rsidP="007065E8">
      <w:pPr>
        <w:ind w:firstLine="709"/>
        <w:jc w:val="both"/>
        <w:rPr>
          <w:sz w:val="28"/>
          <w:szCs w:val="28"/>
        </w:rPr>
      </w:pPr>
      <w:r w:rsidRPr="00E320AE">
        <w:rPr>
          <w:sz w:val="28"/>
          <w:szCs w:val="28"/>
        </w:rPr>
        <w:t>При разработке показателей прогноза использовались данные территориального органа Федеральной службы государственной статистики по Тверской области, Главного управления Банка России по Тверской области, территориальных органов внебюджетных фондов и исполнительных органов государственной власти Тверской области, муниципальных образований Тверской области.</w:t>
      </w:r>
    </w:p>
    <w:p w:rsidR="007065E8" w:rsidRPr="00E320AE" w:rsidRDefault="007065E8" w:rsidP="007065E8">
      <w:pPr>
        <w:ind w:firstLine="720"/>
        <w:jc w:val="both"/>
        <w:rPr>
          <w:sz w:val="28"/>
          <w:szCs w:val="28"/>
        </w:rPr>
      </w:pPr>
      <w:r w:rsidRPr="00E320AE">
        <w:rPr>
          <w:sz w:val="28"/>
          <w:szCs w:val="28"/>
        </w:rPr>
        <w:t xml:space="preserve">Сравнение показателей прогноза проводится с оперативными данными территориального органа Федеральной службы государственной статистики по Тверской области </w:t>
      </w:r>
      <w:r w:rsidR="00353EB7" w:rsidRPr="00E320AE">
        <w:rPr>
          <w:sz w:val="28"/>
          <w:szCs w:val="28"/>
        </w:rPr>
        <w:t>за 201</w:t>
      </w:r>
      <w:r w:rsidR="00E320AE" w:rsidRPr="00E320AE">
        <w:rPr>
          <w:sz w:val="28"/>
          <w:szCs w:val="28"/>
        </w:rPr>
        <w:t>5</w:t>
      </w:r>
      <w:r w:rsidR="00353EB7" w:rsidRPr="00E320AE">
        <w:rPr>
          <w:sz w:val="28"/>
          <w:szCs w:val="28"/>
        </w:rPr>
        <w:t xml:space="preserve"> год (</w:t>
      </w:r>
      <w:r w:rsidRPr="00E320AE">
        <w:rPr>
          <w:sz w:val="28"/>
          <w:szCs w:val="28"/>
        </w:rPr>
        <w:t xml:space="preserve">по состоянию на </w:t>
      </w:r>
      <w:r w:rsidR="00E320AE" w:rsidRPr="00E320AE">
        <w:rPr>
          <w:sz w:val="28"/>
          <w:szCs w:val="28"/>
        </w:rPr>
        <w:t>март</w:t>
      </w:r>
      <w:r w:rsidRPr="00E320AE">
        <w:rPr>
          <w:sz w:val="28"/>
          <w:szCs w:val="28"/>
        </w:rPr>
        <w:t xml:space="preserve"> 201</w:t>
      </w:r>
      <w:r w:rsidR="00E320AE" w:rsidRPr="00E320AE">
        <w:rPr>
          <w:sz w:val="28"/>
          <w:szCs w:val="28"/>
        </w:rPr>
        <w:t>6</w:t>
      </w:r>
      <w:r w:rsidRPr="00E320AE">
        <w:rPr>
          <w:sz w:val="28"/>
          <w:szCs w:val="28"/>
        </w:rPr>
        <w:t xml:space="preserve"> года</w:t>
      </w:r>
      <w:r w:rsidR="00353EB7" w:rsidRPr="00E320AE">
        <w:rPr>
          <w:sz w:val="28"/>
          <w:szCs w:val="28"/>
        </w:rPr>
        <w:t>)</w:t>
      </w:r>
      <w:r w:rsidRPr="00E320AE">
        <w:rPr>
          <w:sz w:val="28"/>
          <w:szCs w:val="28"/>
        </w:rPr>
        <w:t xml:space="preserve">, </w:t>
      </w:r>
      <w:r w:rsidR="00353EB7" w:rsidRPr="00E320AE">
        <w:rPr>
          <w:sz w:val="28"/>
          <w:szCs w:val="28"/>
        </w:rPr>
        <w:t>которые в последующем могут быть уточнены</w:t>
      </w:r>
      <w:r w:rsidRPr="00E320AE">
        <w:rPr>
          <w:sz w:val="28"/>
          <w:szCs w:val="28"/>
        </w:rPr>
        <w:t>.</w:t>
      </w:r>
    </w:p>
    <w:p w:rsidR="007065E8" w:rsidRPr="00207306" w:rsidRDefault="004A4FFC" w:rsidP="007065E8">
      <w:pPr>
        <w:ind w:firstLine="709"/>
        <w:jc w:val="both"/>
        <w:rPr>
          <w:sz w:val="28"/>
          <w:szCs w:val="28"/>
        </w:rPr>
      </w:pPr>
      <w:r w:rsidRPr="00207306">
        <w:rPr>
          <w:sz w:val="28"/>
          <w:szCs w:val="28"/>
        </w:rPr>
        <w:t>П</w:t>
      </w:r>
      <w:r w:rsidR="007065E8" w:rsidRPr="00207306">
        <w:rPr>
          <w:sz w:val="28"/>
          <w:szCs w:val="28"/>
        </w:rPr>
        <w:t>ояснения причин имеющихся отклонений прогнозных показателей от данных оперативной отчетности</w:t>
      </w:r>
      <w:r w:rsidRPr="00207306">
        <w:rPr>
          <w:sz w:val="28"/>
          <w:szCs w:val="28"/>
        </w:rPr>
        <w:t xml:space="preserve"> приводятся ниже</w:t>
      </w:r>
      <w:r w:rsidR="007065E8" w:rsidRPr="00207306">
        <w:rPr>
          <w:sz w:val="28"/>
          <w:szCs w:val="28"/>
        </w:rPr>
        <w:t>.</w:t>
      </w:r>
    </w:p>
    <w:p w:rsidR="00207306" w:rsidRPr="00207306" w:rsidRDefault="00207306" w:rsidP="00207306">
      <w:pPr>
        <w:ind w:firstLine="709"/>
        <w:jc w:val="both"/>
        <w:rPr>
          <w:sz w:val="28"/>
          <w:szCs w:val="28"/>
        </w:rPr>
      </w:pPr>
      <w:r w:rsidRPr="0020730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7306">
        <w:rPr>
          <w:sz w:val="28"/>
          <w:szCs w:val="28"/>
        </w:rPr>
        <w:t xml:space="preserve">Отклонения прогнозируемого значения показателя «Численность населения (среднегодовая)» от статистических данных за 2015 год незначительны и составили 0,2 % по 1 и 2 вариантам прогноза, что обусловлено отрицательным </w:t>
      </w:r>
      <w:r w:rsidR="002F0B98">
        <w:rPr>
          <w:sz w:val="28"/>
          <w:szCs w:val="28"/>
        </w:rPr>
        <w:t>сальдо миграции.</w:t>
      </w:r>
      <w:r w:rsidR="00AD0B14">
        <w:rPr>
          <w:sz w:val="28"/>
          <w:szCs w:val="28"/>
        </w:rPr>
        <w:t xml:space="preserve"> </w:t>
      </w:r>
      <w:r w:rsidR="002F0B98">
        <w:rPr>
          <w:sz w:val="28"/>
          <w:szCs w:val="28"/>
        </w:rPr>
        <w:t xml:space="preserve">В 2015 году </w:t>
      </w:r>
      <w:r w:rsidRPr="00207306">
        <w:rPr>
          <w:sz w:val="28"/>
          <w:szCs w:val="28"/>
        </w:rPr>
        <w:t xml:space="preserve">число выбывших с территории </w:t>
      </w:r>
      <w:r w:rsidR="002F0B98">
        <w:rPr>
          <w:sz w:val="28"/>
          <w:szCs w:val="28"/>
        </w:rPr>
        <w:t xml:space="preserve">Тверской области </w:t>
      </w:r>
      <w:r w:rsidRPr="00207306">
        <w:rPr>
          <w:sz w:val="28"/>
          <w:szCs w:val="28"/>
        </w:rPr>
        <w:t xml:space="preserve">превысило число прибывших на 1 894 человека </w:t>
      </w:r>
      <w:r w:rsidR="00601C2C">
        <w:rPr>
          <w:sz w:val="28"/>
          <w:szCs w:val="28"/>
        </w:rPr>
        <w:t>за счет</w:t>
      </w:r>
      <w:r w:rsidRPr="00207306">
        <w:rPr>
          <w:sz w:val="28"/>
          <w:szCs w:val="28"/>
        </w:rPr>
        <w:t xml:space="preserve"> оттока населения по межрегиональной миграции</w:t>
      </w:r>
      <w:r w:rsidR="00AD0B14">
        <w:rPr>
          <w:sz w:val="28"/>
          <w:szCs w:val="28"/>
        </w:rPr>
        <w:t>:</w:t>
      </w:r>
      <w:r w:rsidRPr="00207306">
        <w:rPr>
          <w:sz w:val="28"/>
          <w:szCs w:val="28"/>
        </w:rPr>
        <w:t xml:space="preserve"> в Московскую область, Москву, Санкт-Петербург</w:t>
      </w:r>
      <w:r w:rsidR="00AD0B14">
        <w:rPr>
          <w:sz w:val="28"/>
          <w:szCs w:val="28"/>
        </w:rPr>
        <w:t xml:space="preserve">, </w:t>
      </w:r>
      <w:r w:rsidRPr="00207306">
        <w:rPr>
          <w:sz w:val="28"/>
          <w:szCs w:val="28"/>
        </w:rPr>
        <w:t>другие города и области.</w:t>
      </w:r>
    </w:p>
    <w:p w:rsidR="00AD0B14" w:rsidRDefault="00AD0B14" w:rsidP="000A4602">
      <w:pPr>
        <w:ind w:firstLine="709"/>
        <w:jc w:val="both"/>
        <w:rPr>
          <w:b/>
          <w:color w:val="002060"/>
          <w:sz w:val="28"/>
          <w:szCs w:val="28"/>
        </w:rPr>
      </w:pPr>
    </w:p>
    <w:p w:rsidR="00C651FE" w:rsidRPr="0079664D" w:rsidRDefault="000A4602" w:rsidP="0079664D">
      <w:pPr>
        <w:ind w:firstLine="709"/>
        <w:jc w:val="both"/>
        <w:rPr>
          <w:sz w:val="28"/>
          <w:szCs w:val="28"/>
        </w:rPr>
      </w:pPr>
      <w:r w:rsidRPr="0079664D">
        <w:rPr>
          <w:b/>
          <w:sz w:val="28"/>
          <w:szCs w:val="28"/>
        </w:rPr>
        <w:t xml:space="preserve">2. </w:t>
      </w:r>
      <w:r w:rsidR="00C651FE" w:rsidRPr="0079664D">
        <w:rPr>
          <w:sz w:val="28"/>
          <w:szCs w:val="28"/>
        </w:rPr>
        <w:t xml:space="preserve">По показателю «Валовой региональный продукт </w:t>
      </w:r>
      <w:r w:rsidR="00397B41">
        <w:rPr>
          <w:sz w:val="28"/>
          <w:szCs w:val="28"/>
        </w:rPr>
        <w:t>(</w:t>
      </w:r>
      <w:r w:rsidR="00C651FE" w:rsidRPr="0079664D">
        <w:rPr>
          <w:sz w:val="28"/>
          <w:szCs w:val="28"/>
        </w:rPr>
        <w:t>в основных ценах соответствующих лет</w:t>
      </w:r>
      <w:r w:rsidR="00397B41">
        <w:rPr>
          <w:sz w:val="28"/>
          <w:szCs w:val="28"/>
        </w:rPr>
        <w:t>)</w:t>
      </w:r>
      <w:r w:rsidR="00C651FE" w:rsidRPr="0079664D">
        <w:rPr>
          <w:sz w:val="28"/>
          <w:szCs w:val="28"/>
        </w:rPr>
        <w:t xml:space="preserve">» в графе «2015 год, отчет» указана оценка Министерства экономического развития Тверской области в соответствии с распоряжением Правительства Тверской области от 29.09.2015 № 483-рп «О прогнозе социально-экономического развития Тверской области на 2016 год и плановый период 2017 и 2018 годов». Фактические данные за 2015 год будут опубликованы </w:t>
      </w:r>
      <w:r w:rsidR="007F32F0">
        <w:rPr>
          <w:sz w:val="28"/>
          <w:szCs w:val="28"/>
        </w:rPr>
        <w:t>т</w:t>
      </w:r>
      <w:r w:rsidR="00C651FE" w:rsidRPr="0079664D">
        <w:rPr>
          <w:sz w:val="28"/>
          <w:szCs w:val="28"/>
        </w:rPr>
        <w:t>ерриториальным органом Федеральной службы государственной статистики по Тверской области в апреле-мае 2017 года.</w:t>
      </w:r>
    </w:p>
    <w:p w:rsidR="00144E2A" w:rsidRDefault="00144E2A" w:rsidP="000A5C82">
      <w:pPr>
        <w:ind w:firstLine="720"/>
        <w:jc w:val="both"/>
        <w:rPr>
          <w:sz w:val="28"/>
          <w:szCs w:val="28"/>
        </w:rPr>
      </w:pPr>
      <w:r w:rsidRPr="00207306">
        <w:rPr>
          <w:sz w:val="28"/>
          <w:szCs w:val="28"/>
        </w:rPr>
        <w:t>Отклонения прогнозируемого значения показателя от</w:t>
      </w:r>
      <w:r>
        <w:rPr>
          <w:sz w:val="28"/>
          <w:szCs w:val="28"/>
        </w:rPr>
        <w:t xml:space="preserve"> оценочных</w:t>
      </w:r>
      <w:r w:rsidRPr="00207306">
        <w:rPr>
          <w:sz w:val="28"/>
          <w:szCs w:val="28"/>
        </w:rPr>
        <w:t xml:space="preserve"> данных за 2015 год незначительны и составили </w:t>
      </w:r>
      <w:r>
        <w:rPr>
          <w:sz w:val="28"/>
          <w:szCs w:val="28"/>
        </w:rPr>
        <w:t xml:space="preserve">минус </w:t>
      </w:r>
      <w:r w:rsidRPr="00207306">
        <w:rPr>
          <w:sz w:val="28"/>
          <w:szCs w:val="28"/>
        </w:rPr>
        <w:t>2</w:t>
      </w:r>
      <w:r>
        <w:rPr>
          <w:sz w:val="28"/>
          <w:szCs w:val="28"/>
        </w:rPr>
        <w:t>,1</w:t>
      </w:r>
      <w:r w:rsidRPr="00207306">
        <w:rPr>
          <w:sz w:val="28"/>
          <w:szCs w:val="28"/>
        </w:rPr>
        <w:t xml:space="preserve"> % по 1 </w:t>
      </w:r>
      <w:r>
        <w:rPr>
          <w:sz w:val="28"/>
          <w:szCs w:val="28"/>
        </w:rPr>
        <w:t xml:space="preserve">варианту </w:t>
      </w:r>
      <w:r w:rsidRPr="0020730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минус      1,5 % по </w:t>
      </w:r>
      <w:r w:rsidRPr="00207306">
        <w:rPr>
          <w:sz w:val="28"/>
          <w:szCs w:val="28"/>
        </w:rPr>
        <w:t>2 вариант</w:t>
      </w:r>
      <w:r>
        <w:rPr>
          <w:sz w:val="28"/>
          <w:szCs w:val="28"/>
        </w:rPr>
        <w:t>у</w:t>
      </w:r>
      <w:r w:rsidRPr="00207306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>, что связано с отклонениями по индексу-дефлятору (прогноз – 105,0 %, оценка – 108,5 %) и индексу физического объема (прогноз – 102,8</w:t>
      </w:r>
      <w:r w:rsidR="00F31F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1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103,5 %, оценка – 98,7 %). </w:t>
      </w:r>
    </w:p>
    <w:p w:rsidR="00144E2A" w:rsidRDefault="00144E2A" w:rsidP="000A5C82">
      <w:pPr>
        <w:ind w:firstLine="720"/>
        <w:jc w:val="both"/>
        <w:rPr>
          <w:sz w:val="28"/>
          <w:szCs w:val="28"/>
        </w:rPr>
      </w:pPr>
    </w:p>
    <w:p w:rsidR="00D176B0" w:rsidRDefault="00144E2A" w:rsidP="000A5C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A5C82" w:rsidRPr="00DC502F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индекса физического объема в</w:t>
      </w:r>
      <w:r w:rsidRPr="0079664D">
        <w:rPr>
          <w:sz w:val="28"/>
          <w:szCs w:val="28"/>
        </w:rPr>
        <w:t>алово</w:t>
      </w:r>
      <w:r>
        <w:rPr>
          <w:sz w:val="28"/>
          <w:szCs w:val="28"/>
        </w:rPr>
        <w:t>го</w:t>
      </w:r>
      <w:r w:rsidRPr="0079664D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79664D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а</w:t>
      </w:r>
      <w:r w:rsidRPr="00796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</w:t>
      </w:r>
      <w:r w:rsidR="000F364A">
        <w:rPr>
          <w:sz w:val="28"/>
          <w:szCs w:val="28"/>
        </w:rPr>
        <w:t xml:space="preserve">кардинальным </w:t>
      </w:r>
      <w:r>
        <w:rPr>
          <w:sz w:val="28"/>
          <w:szCs w:val="28"/>
        </w:rPr>
        <w:t xml:space="preserve">изменением </w:t>
      </w:r>
      <w:r w:rsidR="00D176B0">
        <w:rPr>
          <w:sz w:val="28"/>
          <w:szCs w:val="28"/>
        </w:rPr>
        <w:t xml:space="preserve">динамики развития </w:t>
      </w:r>
      <w:r>
        <w:rPr>
          <w:sz w:val="28"/>
          <w:szCs w:val="28"/>
        </w:rPr>
        <w:t>следующи</w:t>
      </w:r>
      <w:r w:rsidR="00D176B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0A5C82" w:rsidRPr="00DC502F">
        <w:rPr>
          <w:sz w:val="28"/>
          <w:szCs w:val="28"/>
        </w:rPr>
        <w:t>вид</w:t>
      </w:r>
      <w:r w:rsidR="00D176B0">
        <w:rPr>
          <w:sz w:val="28"/>
          <w:szCs w:val="28"/>
        </w:rPr>
        <w:t>ов</w:t>
      </w:r>
      <w:r w:rsidR="000A5C82" w:rsidRPr="00DC502F">
        <w:rPr>
          <w:sz w:val="28"/>
          <w:szCs w:val="28"/>
        </w:rPr>
        <w:t xml:space="preserve"> экономической деятельности – «Обрабатывающие производства» (</w:t>
      </w:r>
      <w:r w:rsidR="00D176B0">
        <w:rPr>
          <w:sz w:val="28"/>
          <w:szCs w:val="28"/>
        </w:rPr>
        <w:t xml:space="preserve">прогноз – 104,3 </w:t>
      </w:r>
      <w:r w:rsidR="00F31FD8">
        <w:rPr>
          <w:sz w:val="28"/>
          <w:szCs w:val="28"/>
        </w:rPr>
        <w:t>-</w:t>
      </w:r>
      <w:r w:rsidR="00D176B0">
        <w:rPr>
          <w:sz w:val="28"/>
          <w:szCs w:val="28"/>
        </w:rPr>
        <w:t xml:space="preserve"> 106,3 %, оценка </w:t>
      </w:r>
      <w:r w:rsidR="004A0C57">
        <w:rPr>
          <w:sz w:val="28"/>
          <w:szCs w:val="28"/>
        </w:rPr>
        <w:t>–</w:t>
      </w:r>
      <w:r w:rsidR="00D176B0">
        <w:rPr>
          <w:sz w:val="28"/>
          <w:szCs w:val="28"/>
        </w:rPr>
        <w:t xml:space="preserve"> </w:t>
      </w:r>
      <w:r w:rsidR="000A5C82" w:rsidRPr="00DC502F">
        <w:rPr>
          <w:sz w:val="28"/>
          <w:szCs w:val="28"/>
        </w:rPr>
        <w:t>90,0 %), «Оптовая и розничная торговля; ремонт автотранспортных средств, мотоциклов, бытовых изделий и предметов личного пользования» (</w:t>
      </w:r>
      <w:r w:rsidR="00D176B0">
        <w:rPr>
          <w:sz w:val="28"/>
          <w:szCs w:val="28"/>
        </w:rPr>
        <w:t>прогноз – 102,4</w:t>
      </w:r>
      <w:r w:rsidR="00F31FD8">
        <w:rPr>
          <w:sz w:val="28"/>
          <w:szCs w:val="28"/>
        </w:rPr>
        <w:t xml:space="preserve"> </w:t>
      </w:r>
      <w:r w:rsidR="00D176B0">
        <w:rPr>
          <w:sz w:val="28"/>
          <w:szCs w:val="28"/>
        </w:rPr>
        <w:t>-</w:t>
      </w:r>
      <w:r w:rsidR="00F31FD8">
        <w:rPr>
          <w:sz w:val="28"/>
          <w:szCs w:val="28"/>
        </w:rPr>
        <w:t xml:space="preserve"> </w:t>
      </w:r>
      <w:r w:rsidR="00D176B0">
        <w:rPr>
          <w:sz w:val="28"/>
          <w:szCs w:val="28"/>
        </w:rPr>
        <w:t xml:space="preserve">102,6 %, оценка </w:t>
      </w:r>
      <w:r w:rsidR="004A0C57">
        <w:rPr>
          <w:sz w:val="28"/>
          <w:szCs w:val="28"/>
        </w:rPr>
        <w:t>–</w:t>
      </w:r>
      <w:r w:rsidR="00D176B0">
        <w:rPr>
          <w:sz w:val="28"/>
          <w:szCs w:val="28"/>
        </w:rPr>
        <w:t xml:space="preserve"> </w:t>
      </w:r>
      <w:r w:rsidR="000A5C82" w:rsidRPr="00DC502F">
        <w:rPr>
          <w:sz w:val="28"/>
          <w:szCs w:val="28"/>
        </w:rPr>
        <w:t>94,9 %), «Транспорт и связь» (</w:t>
      </w:r>
      <w:r w:rsidR="00D176B0">
        <w:rPr>
          <w:sz w:val="28"/>
          <w:szCs w:val="28"/>
        </w:rPr>
        <w:t>прогноз – 101,5</w:t>
      </w:r>
      <w:r w:rsidR="00F31FD8">
        <w:rPr>
          <w:sz w:val="28"/>
          <w:szCs w:val="28"/>
        </w:rPr>
        <w:t xml:space="preserve"> </w:t>
      </w:r>
      <w:r w:rsidR="00D176B0">
        <w:rPr>
          <w:sz w:val="28"/>
          <w:szCs w:val="28"/>
        </w:rPr>
        <w:t>-</w:t>
      </w:r>
      <w:r w:rsidR="00F31FD8">
        <w:rPr>
          <w:sz w:val="28"/>
          <w:szCs w:val="28"/>
        </w:rPr>
        <w:t xml:space="preserve"> </w:t>
      </w:r>
      <w:r w:rsidR="00D176B0">
        <w:rPr>
          <w:sz w:val="28"/>
          <w:szCs w:val="28"/>
        </w:rPr>
        <w:t xml:space="preserve">102,2 %, оценка </w:t>
      </w:r>
      <w:r w:rsidR="004A0C57">
        <w:rPr>
          <w:sz w:val="28"/>
          <w:szCs w:val="28"/>
        </w:rPr>
        <w:t>–</w:t>
      </w:r>
      <w:r w:rsidR="00D176B0">
        <w:rPr>
          <w:sz w:val="28"/>
          <w:szCs w:val="28"/>
        </w:rPr>
        <w:t xml:space="preserve"> </w:t>
      </w:r>
      <w:r w:rsidR="000A5C82" w:rsidRPr="00DC502F">
        <w:rPr>
          <w:sz w:val="28"/>
          <w:szCs w:val="28"/>
        </w:rPr>
        <w:t>98,0 %)</w:t>
      </w:r>
      <w:r w:rsidR="00E377C5">
        <w:rPr>
          <w:sz w:val="28"/>
          <w:szCs w:val="28"/>
        </w:rPr>
        <w:t>, что связано в первую очередь со снижением доступности кредитных ресурсов, сжатием потребительского спроса.</w:t>
      </w:r>
    </w:p>
    <w:p w:rsidR="00144E2A" w:rsidRDefault="00144E2A" w:rsidP="000A5C82">
      <w:pPr>
        <w:ind w:firstLine="720"/>
        <w:jc w:val="both"/>
        <w:rPr>
          <w:sz w:val="28"/>
          <w:szCs w:val="28"/>
        </w:rPr>
      </w:pPr>
    </w:p>
    <w:p w:rsidR="00DF3D6C" w:rsidRPr="00DF3D6C" w:rsidRDefault="000A3EEA" w:rsidP="00DF3D6C">
      <w:pPr>
        <w:ind w:firstLine="709"/>
        <w:jc w:val="both"/>
        <w:rPr>
          <w:sz w:val="28"/>
          <w:szCs w:val="28"/>
        </w:rPr>
      </w:pPr>
      <w:r w:rsidRPr="00DF3D6C">
        <w:rPr>
          <w:b/>
          <w:sz w:val="28"/>
          <w:szCs w:val="28"/>
        </w:rPr>
        <w:t xml:space="preserve">3. </w:t>
      </w:r>
      <w:r w:rsidR="00DF3D6C" w:rsidRPr="00DF3D6C">
        <w:rPr>
          <w:sz w:val="28"/>
          <w:szCs w:val="28"/>
        </w:rPr>
        <w:t>Фактическое значение индекса про</w:t>
      </w:r>
      <w:r w:rsidR="002255DA">
        <w:rPr>
          <w:sz w:val="28"/>
          <w:szCs w:val="28"/>
        </w:rPr>
        <w:t>мышленного производства за 2015 </w:t>
      </w:r>
      <w:r w:rsidR="00DF3D6C" w:rsidRPr="00DF3D6C">
        <w:rPr>
          <w:sz w:val="28"/>
          <w:szCs w:val="28"/>
        </w:rPr>
        <w:t>год по трем видам экономической деятельности – «Добыча полезных ископаемых» (C), «Обрабатывающие производства» (D), «Производство и распределение электроэнергии, газа и воды» (E) – (94,1 %) сложилось ниже прогнозируемого по 1 варианту прогноза на 10,5 процентн</w:t>
      </w:r>
      <w:r w:rsidR="00D43DAC">
        <w:rPr>
          <w:sz w:val="28"/>
          <w:szCs w:val="28"/>
        </w:rPr>
        <w:t>ого</w:t>
      </w:r>
      <w:r w:rsidR="00DF3D6C" w:rsidRPr="00DF3D6C">
        <w:rPr>
          <w:sz w:val="28"/>
          <w:szCs w:val="28"/>
        </w:rPr>
        <w:t xml:space="preserve"> пункта, по 2 варианту прогноза </w:t>
      </w:r>
      <w:r w:rsidR="00D43DAC">
        <w:rPr>
          <w:sz w:val="28"/>
          <w:szCs w:val="28"/>
        </w:rPr>
        <w:t>–</w:t>
      </w:r>
      <w:r w:rsidR="00DF3D6C" w:rsidRPr="00DF3D6C">
        <w:rPr>
          <w:sz w:val="28"/>
          <w:szCs w:val="28"/>
        </w:rPr>
        <w:t xml:space="preserve"> на 12,4 процентн</w:t>
      </w:r>
      <w:r w:rsidR="00D43DAC">
        <w:rPr>
          <w:sz w:val="28"/>
          <w:szCs w:val="28"/>
        </w:rPr>
        <w:t>ого</w:t>
      </w:r>
      <w:r w:rsidR="00DF3D6C" w:rsidRPr="00DF3D6C">
        <w:rPr>
          <w:sz w:val="28"/>
          <w:szCs w:val="28"/>
        </w:rPr>
        <w:t xml:space="preserve"> пункта.</w:t>
      </w:r>
    </w:p>
    <w:p w:rsidR="002F5040" w:rsidRDefault="00ED6FC0" w:rsidP="00DF3D6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Отклонение</w:t>
      </w:r>
      <w:r w:rsidR="00DF3D6C" w:rsidRPr="006B54D5">
        <w:rPr>
          <w:sz w:val="28"/>
          <w:szCs w:val="28"/>
        </w:rPr>
        <w:t xml:space="preserve"> фактических значений показателей за 2015 год от параметров, утвержденных в </w:t>
      </w:r>
      <w:r w:rsidR="00063A35">
        <w:rPr>
          <w:sz w:val="28"/>
          <w:szCs w:val="28"/>
        </w:rPr>
        <w:t>п</w:t>
      </w:r>
      <w:r w:rsidR="00DF3D6C" w:rsidRPr="006B54D5">
        <w:rPr>
          <w:sz w:val="28"/>
          <w:szCs w:val="28"/>
        </w:rPr>
        <w:t xml:space="preserve">рогнозе на период до 2017 года, отмечается </w:t>
      </w:r>
      <w:r w:rsidR="00DF3D6C" w:rsidRPr="006B54D5">
        <w:rPr>
          <w:color w:val="000000" w:themeColor="text1"/>
          <w:sz w:val="28"/>
          <w:szCs w:val="28"/>
        </w:rPr>
        <w:t>на фоне общего падения темпов роста экономики в стране и обусловлено, прежде всего</w:t>
      </w:r>
      <w:r w:rsidR="00D827BC">
        <w:rPr>
          <w:color w:val="000000" w:themeColor="text1"/>
          <w:sz w:val="28"/>
          <w:szCs w:val="28"/>
        </w:rPr>
        <w:t>,</w:t>
      </w:r>
      <w:r w:rsidR="002F5040">
        <w:rPr>
          <w:color w:val="000000" w:themeColor="text1"/>
          <w:sz w:val="28"/>
          <w:szCs w:val="28"/>
        </w:rPr>
        <w:t xml:space="preserve"> </w:t>
      </w:r>
      <w:r w:rsidR="00063A35">
        <w:rPr>
          <w:sz w:val="28"/>
          <w:szCs w:val="28"/>
        </w:rPr>
        <w:t>ослабление</w:t>
      </w:r>
      <w:r w:rsidR="002F5040">
        <w:rPr>
          <w:sz w:val="28"/>
          <w:szCs w:val="28"/>
        </w:rPr>
        <w:t>м</w:t>
      </w:r>
      <w:r w:rsidR="00063A35">
        <w:rPr>
          <w:sz w:val="28"/>
          <w:szCs w:val="28"/>
        </w:rPr>
        <w:t xml:space="preserve"> национальной валюты</w:t>
      </w:r>
      <w:r w:rsidR="00DF3D6C" w:rsidRPr="006B54D5">
        <w:rPr>
          <w:sz w:val="28"/>
          <w:szCs w:val="28"/>
        </w:rPr>
        <w:t>, сокращение</w:t>
      </w:r>
      <w:r w:rsidR="002F5040">
        <w:rPr>
          <w:sz w:val="28"/>
          <w:szCs w:val="28"/>
        </w:rPr>
        <w:t>м</w:t>
      </w:r>
      <w:r w:rsidR="00DF3D6C" w:rsidRPr="006B54D5">
        <w:rPr>
          <w:sz w:val="28"/>
          <w:szCs w:val="28"/>
        </w:rPr>
        <w:t xml:space="preserve"> внутреннего спроса, ухудшение</w:t>
      </w:r>
      <w:r w:rsidR="002F5040">
        <w:rPr>
          <w:sz w:val="28"/>
          <w:szCs w:val="28"/>
        </w:rPr>
        <w:t>м</w:t>
      </w:r>
      <w:r w:rsidR="00DF3D6C" w:rsidRPr="006B54D5">
        <w:rPr>
          <w:sz w:val="28"/>
          <w:szCs w:val="28"/>
        </w:rPr>
        <w:t xml:space="preserve"> условий доступа к </w:t>
      </w:r>
      <w:r w:rsidR="002F5040">
        <w:rPr>
          <w:sz w:val="28"/>
          <w:szCs w:val="28"/>
        </w:rPr>
        <w:t>кредитным ресурсам</w:t>
      </w:r>
      <w:r w:rsidR="00DF3D6C" w:rsidRPr="006B54D5">
        <w:rPr>
          <w:color w:val="000000" w:themeColor="text1"/>
          <w:sz w:val="28"/>
          <w:szCs w:val="28"/>
        </w:rPr>
        <w:t xml:space="preserve">, что </w:t>
      </w:r>
      <w:r w:rsidR="00D827BC">
        <w:rPr>
          <w:color w:val="000000" w:themeColor="text1"/>
          <w:sz w:val="28"/>
          <w:szCs w:val="28"/>
        </w:rPr>
        <w:t>отразилось</w:t>
      </w:r>
      <w:r w:rsidR="00DF3D6C" w:rsidRPr="006B54D5">
        <w:rPr>
          <w:color w:val="000000" w:themeColor="text1"/>
          <w:sz w:val="28"/>
          <w:szCs w:val="28"/>
        </w:rPr>
        <w:t xml:space="preserve"> на </w:t>
      </w:r>
      <w:r w:rsidR="002F5040">
        <w:rPr>
          <w:color w:val="000000" w:themeColor="text1"/>
          <w:sz w:val="28"/>
          <w:szCs w:val="28"/>
        </w:rPr>
        <w:t>динамик</w:t>
      </w:r>
      <w:r w:rsidR="00D827BC">
        <w:rPr>
          <w:color w:val="000000" w:themeColor="text1"/>
          <w:sz w:val="28"/>
          <w:szCs w:val="28"/>
        </w:rPr>
        <w:t>е</w:t>
      </w:r>
      <w:r w:rsidR="00DF3D6C" w:rsidRPr="006B54D5">
        <w:rPr>
          <w:color w:val="000000" w:themeColor="text1"/>
          <w:sz w:val="28"/>
          <w:szCs w:val="28"/>
        </w:rPr>
        <w:t xml:space="preserve"> промышленного производства в Тверской области в 2014</w:t>
      </w:r>
      <w:r w:rsidR="009F4E30">
        <w:rPr>
          <w:color w:val="000000" w:themeColor="text1"/>
          <w:sz w:val="28"/>
          <w:szCs w:val="28"/>
        </w:rPr>
        <w:t xml:space="preserve"> </w:t>
      </w:r>
      <w:r w:rsidR="00DF3D6C" w:rsidRPr="006B54D5">
        <w:rPr>
          <w:color w:val="000000" w:themeColor="text1"/>
          <w:sz w:val="28"/>
          <w:szCs w:val="28"/>
        </w:rPr>
        <w:t>-</w:t>
      </w:r>
      <w:r w:rsidR="009F4E30">
        <w:rPr>
          <w:color w:val="000000" w:themeColor="text1"/>
          <w:sz w:val="28"/>
          <w:szCs w:val="28"/>
        </w:rPr>
        <w:t xml:space="preserve"> </w:t>
      </w:r>
      <w:r w:rsidR="00DF3D6C" w:rsidRPr="006B54D5">
        <w:rPr>
          <w:color w:val="000000" w:themeColor="text1"/>
          <w:sz w:val="28"/>
          <w:szCs w:val="28"/>
        </w:rPr>
        <w:t>2015 год</w:t>
      </w:r>
      <w:r w:rsidR="002F5040">
        <w:rPr>
          <w:color w:val="000000" w:themeColor="text1"/>
          <w:sz w:val="28"/>
          <w:szCs w:val="28"/>
        </w:rPr>
        <w:t>ах</w:t>
      </w:r>
      <w:r w:rsidR="00DF3D6C" w:rsidRPr="006B54D5">
        <w:rPr>
          <w:color w:val="000000" w:themeColor="text1"/>
          <w:sz w:val="28"/>
          <w:szCs w:val="28"/>
        </w:rPr>
        <w:t xml:space="preserve">. </w:t>
      </w:r>
      <w:proofErr w:type="gramEnd"/>
    </w:p>
    <w:p w:rsidR="002F5040" w:rsidRDefault="00DF3D6C" w:rsidP="00DF3D6C">
      <w:pPr>
        <w:ind w:firstLine="709"/>
        <w:jc w:val="both"/>
        <w:rPr>
          <w:color w:val="000000" w:themeColor="text1"/>
          <w:sz w:val="28"/>
          <w:szCs w:val="28"/>
        </w:rPr>
      </w:pPr>
      <w:r w:rsidRPr="006B54D5">
        <w:rPr>
          <w:color w:val="000000" w:themeColor="text1"/>
          <w:sz w:val="28"/>
          <w:szCs w:val="28"/>
        </w:rPr>
        <w:t>Отрицательное влияние на индекс промышленного производства оказал перенос с 2015 года на более поздний период сроков ввода в действие</w:t>
      </w:r>
      <w:r w:rsidR="002F5040">
        <w:rPr>
          <w:color w:val="000000" w:themeColor="text1"/>
          <w:sz w:val="28"/>
          <w:szCs w:val="28"/>
        </w:rPr>
        <w:t>:</w:t>
      </w:r>
    </w:p>
    <w:p w:rsidR="002F5040" w:rsidRDefault="002F5040" w:rsidP="00DF3D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F3D6C" w:rsidRPr="006B54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DF3D6C" w:rsidRPr="006B54D5">
        <w:rPr>
          <w:color w:val="000000" w:themeColor="text1"/>
          <w:sz w:val="28"/>
          <w:szCs w:val="28"/>
        </w:rPr>
        <w:t>АО «</w:t>
      </w:r>
      <w:proofErr w:type="spellStart"/>
      <w:r w:rsidR="00DF3D6C" w:rsidRPr="006B54D5">
        <w:rPr>
          <w:color w:val="000000" w:themeColor="text1"/>
          <w:sz w:val="28"/>
          <w:szCs w:val="28"/>
        </w:rPr>
        <w:t>ТоТЭК</w:t>
      </w:r>
      <w:proofErr w:type="spellEnd"/>
      <w:r w:rsidR="00DF3D6C" w:rsidRPr="006B54D5">
        <w:rPr>
          <w:color w:val="000000" w:themeColor="text1"/>
          <w:sz w:val="28"/>
          <w:szCs w:val="28"/>
        </w:rPr>
        <w:t xml:space="preserve">» в </w:t>
      </w:r>
      <w:proofErr w:type="spellStart"/>
      <w:r w:rsidR="00DF3D6C" w:rsidRPr="006B54D5">
        <w:rPr>
          <w:color w:val="000000" w:themeColor="text1"/>
          <w:sz w:val="28"/>
          <w:szCs w:val="28"/>
        </w:rPr>
        <w:t>Торжокском</w:t>
      </w:r>
      <w:proofErr w:type="spellEnd"/>
      <w:r w:rsidR="00DF3D6C" w:rsidRPr="006B54D5">
        <w:rPr>
          <w:color w:val="000000" w:themeColor="text1"/>
          <w:sz w:val="28"/>
          <w:szCs w:val="28"/>
        </w:rPr>
        <w:t xml:space="preserve"> районе, завода по производству ориентированной древесностружечной плиты </w:t>
      </w:r>
      <w:r w:rsidR="00DF3D6C" w:rsidRPr="006B54D5">
        <w:rPr>
          <w:color w:val="000000" w:themeColor="text1"/>
          <w:sz w:val="28"/>
          <w:szCs w:val="28"/>
          <w:lang w:val="en-US"/>
        </w:rPr>
        <w:t>OSB</w:t>
      </w:r>
      <w:r w:rsidR="00DF3D6C" w:rsidRPr="006B54D5">
        <w:rPr>
          <w:color w:val="000000" w:themeColor="text1"/>
          <w:sz w:val="28"/>
          <w:szCs w:val="28"/>
        </w:rPr>
        <w:t xml:space="preserve"> филиалом ООО «СТОД» завод «Талион-Терра» в городе Торжке, ООО «ОМНИПАК Тверь»</w:t>
      </w:r>
      <w:r w:rsidR="00DF3D6C">
        <w:rPr>
          <w:color w:val="000000" w:themeColor="text1"/>
          <w:sz w:val="28"/>
          <w:szCs w:val="28"/>
        </w:rPr>
        <w:t xml:space="preserve"> и</w:t>
      </w:r>
      <w:r w:rsidR="00DF3D6C" w:rsidRPr="006B54D5">
        <w:rPr>
          <w:color w:val="000000" w:themeColor="text1"/>
          <w:sz w:val="28"/>
          <w:szCs w:val="28"/>
        </w:rPr>
        <w:t xml:space="preserve"> </w:t>
      </w:r>
      <w:r w:rsidR="00DF3D6C" w:rsidRPr="006B54D5">
        <w:rPr>
          <w:color w:val="000000" w:themeColor="text1"/>
          <w:sz w:val="28"/>
          <w:szCs w:val="28"/>
          <w:lang w:eastAsia="ar-SA"/>
        </w:rPr>
        <w:t xml:space="preserve">ООО «НПФ «Политехника» </w:t>
      </w:r>
      <w:r w:rsidR="00DF3D6C" w:rsidRPr="006B54D5">
        <w:rPr>
          <w:color w:val="000000" w:themeColor="text1"/>
          <w:sz w:val="28"/>
          <w:szCs w:val="28"/>
        </w:rPr>
        <w:t>в Конаковском районе</w:t>
      </w:r>
      <w:r>
        <w:rPr>
          <w:color w:val="000000" w:themeColor="text1"/>
          <w:sz w:val="28"/>
          <w:szCs w:val="28"/>
        </w:rPr>
        <w:t>;</w:t>
      </w:r>
    </w:p>
    <w:p w:rsidR="002F5040" w:rsidRDefault="002F5040" w:rsidP="00DF3D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F3D6C" w:rsidRPr="006B54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дополнительных</w:t>
      </w:r>
      <w:r w:rsidR="00DF3D6C" w:rsidRPr="006B54D5">
        <w:rPr>
          <w:color w:val="000000" w:themeColor="text1"/>
          <w:sz w:val="28"/>
          <w:szCs w:val="28"/>
        </w:rPr>
        <w:t xml:space="preserve"> производственных мощностей ООО «ЛПХ Сияние» в Западнодвинском районе.</w:t>
      </w:r>
    </w:p>
    <w:p w:rsidR="00DF3D6C" w:rsidRPr="006B54D5" w:rsidRDefault="002F5040" w:rsidP="00DF3D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и</w:t>
      </w:r>
      <w:r w:rsidR="00DF3D6C" w:rsidRPr="006B54D5">
        <w:rPr>
          <w:color w:val="000000" w:themeColor="text1"/>
          <w:sz w:val="28"/>
          <w:szCs w:val="28"/>
        </w:rPr>
        <w:t xml:space="preserve">нвесторы таких проектов, как ООО «Тверь Птица» в Калининском районе (выращивание и дальнейшая переработка индейки), ООО «Тверской Кондитер» в Калининском районе (выпуск изделий </w:t>
      </w:r>
      <w:proofErr w:type="spellStart"/>
      <w:r w:rsidR="00DF3D6C" w:rsidRPr="006B54D5">
        <w:rPr>
          <w:color w:val="000000" w:themeColor="text1"/>
          <w:sz w:val="28"/>
          <w:szCs w:val="28"/>
        </w:rPr>
        <w:t>зефирно</w:t>
      </w:r>
      <w:proofErr w:type="spellEnd"/>
      <w:r w:rsidR="00DF3D6C" w:rsidRPr="006B54D5">
        <w:rPr>
          <w:color w:val="000000" w:themeColor="text1"/>
          <w:sz w:val="28"/>
          <w:szCs w:val="28"/>
        </w:rPr>
        <w:t>-пастильной и мармеладной группы) отказались в 2015 году от реализации инвестиционных проектов.</w:t>
      </w:r>
    </w:p>
    <w:p w:rsidR="002F5040" w:rsidRPr="006B54D5" w:rsidRDefault="002F5040" w:rsidP="002F5040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 xml:space="preserve">Наибольшее расхождение отчетных данных от </w:t>
      </w:r>
      <w:r>
        <w:rPr>
          <w:sz w:val="28"/>
          <w:szCs w:val="28"/>
        </w:rPr>
        <w:t>прогнозируемых</w:t>
      </w:r>
      <w:r w:rsidRPr="006B54D5">
        <w:rPr>
          <w:sz w:val="28"/>
          <w:szCs w:val="28"/>
        </w:rPr>
        <w:t xml:space="preserve"> наблюдается в машиностроительном комплексе,</w:t>
      </w:r>
      <w:r w:rsidRPr="006B54D5">
        <w:rPr>
          <w:rFonts w:eastAsia="MS Mincho"/>
          <w:color w:val="000000"/>
          <w:sz w:val="28"/>
          <w:szCs w:val="28"/>
          <w:lang w:eastAsia="ja-JP"/>
        </w:rPr>
        <w:t xml:space="preserve"> текстильном и швейном производстве, производстве строительных материалов, производстве резиновых и пластмассовых изделий и производстве нефтепродуктов.</w:t>
      </w:r>
    </w:p>
    <w:p w:rsidR="00DF3D6C" w:rsidRDefault="00DF3D6C" w:rsidP="00992B9F">
      <w:pPr>
        <w:ind w:firstLine="720"/>
        <w:jc w:val="both"/>
        <w:rPr>
          <w:b/>
          <w:color w:val="002060"/>
          <w:sz w:val="28"/>
          <w:szCs w:val="28"/>
        </w:rPr>
      </w:pPr>
    </w:p>
    <w:p w:rsidR="006C1243" w:rsidRPr="006C1243" w:rsidRDefault="009D4A53" w:rsidP="006C1243">
      <w:pPr>
        <w:ind w:firstLine="709"/>
        <w:jc w:val="both"/>
        <w:rPr>
          <w:color w:val="000000" w:themeColor="text1"/>
          <w:sz w:val="28"/>
          <w:szCs w:val="28"/>
        </w:rPr>
      </w:pPr>
      <w:r w:rsidRPr="006C1243">
        <w:rPr>
          <w:b/>
          <w:color w:val="000000" w:themeColor="text1"/>
          <w:sz w:val="28"/>
          <w:szCs w:val="28"/>
        </w:rPr>
        <w:t>4.</w:t>
      </w:r>
      <w:r w:rsidR="006C1243">
        <w:rPr>
          <w:b/>
          <w:color w:val="000000" w:themeColor="text1"/>
          <w:sz w:val="28"/>
          <w:szCs w:val="28"/>
        </w:rPr>
        <w:t xml:space="preserve"> </w:t>
      </w:r>
      <w:r w:rsidR="006C1243" w:rsidRPr="006C1243">
        <w:rPr>
          <w:color w:val="000000" w:themeColor="text1"/>
          <w:sz w:val="28"/>
          <w:szCs w:val="28"/>
        </w:rPr>
        <w:t xml:space="preserve">По показателю «Индекс производства продукции сельского хозяйства» за 2015 год отклонение прогнозного значения от фактического составило </w:t>
      </w:r>
      <w:r w:rsidR="00086CF5">
        <w:rPr>
          <w:color w:val="000000" w:themeColor="text1"/>
          <w:sz w:val="28"/>
          <w:szCs w:val="28"/>
        </w:rPr>
        <w:t>минус</w:t>
      </w:r>
      <w:r w:rsidR="00086CF5" w:rsidRPr="006C1243">
        <w:rPr>
          <w:color w:val="000000" w:themeColor="text1"/>
          <w:sz w:val="28"/>
          <w:szCs w:val="28"/>
        </w:rPr>
        <w:t xml:space="preserve"> </w:t>
      </w:r>
      <w:r w:rsidR="006C1243" w:rsidRPr="006C1243">
        <w:rPr>
          <w:color w:val="000000" w:themeColor="text1"/>
          <w:sz w:val="28"/>
          <w:szCs w:val="28"/>
        </w:rPr>
        <w:t>13,6 процентн</w:t>
      </w:r>
      <w:r w:rsidR="00086CF5">
        <w:rPr>
          <w:color w:val="000000" w:themeColor="text1"/>
          <w:sz w:val="28"/>
          <w:szCs w:val="28"/>
        </w:rPr>
        <w:t>ого</w:t>
      </w:r>
      <w:r w:rsidR="006C1243" w:rsidRPr="006C1243">
        <w:rPr>
          <w:color w:val="000000" w:themeColor="text1"/>
          <w:sz w:val="28"/>
          <w:szCs w:val="28"/>
        </w:rPr>
        <w:t xml:space="preserve"> пункт</w:t>
      </w:r>
      <w:r w:rsidR="00086CF5">
        <w:rPr>
          <w:color w:val="000000" w:themeColor="text1"/>
          <w:sz w:val="28"/>
          <w:szCs w:val="28"/>
        </w:rPr>
        <w:t>а</w:t>
      </w:r>
      <w:r w:rsidR="006C1243" w:rsidRPr="006C1243">
        <w:rPr>
          <w:color w:val="000000" w:themeColor="text1"/>
          <w:sz w:val="28"/>
          <w:szCs w:val="28"/>
        </w:rPr>
        <w:t xml:space="preserve"> по 1 варианту прогноза и </w:t>
      </w:r>
      <w:r w:rsidR="00086CF5">
        <w:rPr>
          <w:color w:val="000000" w:themeColor="text1"/>
          <w:sz w:val="28"/>
          <w:szCs w:val="28"/>
        </w:rPr>
        <w:t>минус</w:t>
      </w:r>
      <w:r w:rsidR="00086CF5" w:rsidRPr="006C1243">
        <w:rPr>
          <w:color w:val="000000" w:themeColor="text1"/>
          <w:sz w:val="28"/>
          <w:szCs w:val="28"/>
        </w:rPr>
        <w:t xml:space="preserve"> </w:t>
      </w:r>
      <w:r w:rsidR="006C1243" w:rsidRPr="006C1243">
        <w:rPr>
          <w:color w:val="000000" w:themeColor="text1"/>
          <w:sz w:val="28"/>
          <w:szCs w:val="28"/>
        </w:rPr>
        <w:t>12,6 процентн</w:t>
      </w:r>
      <w:r w:rsidR="00086CF5">
        <w:rPr>
          <w:color w:val="000000" w:themeColor="text1"/>
          <w:sz w:val="28"/>
          <w:szCs w:val="28"/>
        </w:rPr>
        <w:t>ого</w:t>
      </w:r>
      <w:r w:rsidR="006C1243" w:rsidRPr="006C1243">
        <w:rPr>
          <w:color w:val="000000" w:themeColor="text1"/>
          <w:sz w:val="28"/>
          <w:szCs w:val="28"/>
        </w:rPr>
        <w:t xml:space="preserve"> пункт</w:t>
      </w:r>
      <w:r w:rsidR="00086CF5">
        <w:rPr>
          <w:color w:val="000000" w:themeColor="text1"/>
          <w:sz w:val="28"/>
          <w:szCs w:val="28"/>
        </w:rPr>
        <w:t xml:space="preserve">а </w:t>
      </w:r>
      <w:r w:rsidR="006C1243" w:rsidRPr="006C1243">
        <w:rPr>
          <w:color w:val="000000" w:themeColor="text1"/>
          <w:sz w:val="28"/>
          <w:szCs w:val="28"/>
        </w:rPr>
        <w:t>– по 2 варианту.</w:t>
      </w:r>
    </w:p>
    <w:p w:rsidR="0031755F" w:rsidRDefault="006C1243" w:rsidP="0031755F">
      <w:pPr>
        <w:ind w:firstLine="709"/>
        <w:jc w:val="both"/>
        <w:rPr>
          <w:sz w:val="28"/>
          <w:szCs w:val="28"/>
        </w:rPr>
      </w:pPr>
      <w:r w:rsidRPr="006C1243">
        <w:rPr>
          <w:color w:val="000000" w:themeColor="text1"/>
          <w:sz w:val="28"/>
          <w:szCs w:val="28"/>
        </w:rPr>
        <w:t>По предварительным данным в целом по всем категориям хозяйств</w:t>
      </w:r>
      <w:r w:rsidRPr="006B54D5">
        <w:rPr>
          <w:sz w:val="28"/>
          <w:szCs w:val="28"/>
        </w:rPr>
        <w:t xml:space="preserve"> Тверской области объем производства продукции сельского хозяйства в </w:t>
      </w:r>
      <w:r w:rsidRPr="006B54D5">
        <w:rPr>
          <w:sz w:val="28"/>
          <w:szCs w:val="28"/>
        </w:rPr>
        <w:lastRenderedPageBreak/>
        <w:t>2015 году составил 31,8 </w:t>
      </w:r>
      <w:proofErr w:type="gramStart"/>
      <w:r w:rsidRPr="006B54D5">
        <w:rPr>
          <w:sz w:val="28"/>
          <w:szCs w:val="28"/>
        </w:rPr>
        <w:t>млрд</w:t>
      </w:r>
      <w:proofErr w:type="gramEnd"/>
      <w:r w:rsidRPr="006B54D5">
        <w:rPr>
          <w:sz w:val="28"/>
          <w:szCs w:val="28"/>
        </w:rPr>
        <w:t xml:space="preserve"> рублей, или 118,8 % в сопоставимых ценах к уровню 2014 года, в том числе по сельхозпредприятиям области – 130,7 %, по хозяйствам населения – 100,9 %, по фермерским хозяйствам – 110,1 %. </w:t>
      </w:r>
      <w:r w:rsidR="00442943">
        <w:rPr>
          <w:sz w:val="28"/>
          <w:szCs w:val="28"/>
        </w:rPr>
        <w:t>В</w:t>
      </w:r>
      <w:r w:rsidR="001164CB" w:rsidRPr="006B54D5">
        <w:rPr>
          <w:sz w:val="28"/>
          <w:szCs w:val="28"/>
        </w:rPr>
        <w:t>ысокий темп роста обусловлен</w:t>
      </w:r>
      <w:r w:rsidR="001164CB">
        <w:rPr>
          <w:sz w:val="28"/>
          <w:szCs w:val="28"/>
        </w:rPr>
        <w:t xml:space="preserve"> созда</w:t>
      </w:r>
      <w:r w:rsidR="006712F1">
        <w:rPr>
          <w:sz w:val="28"/>
          <w:szCs w:val="28"/>
        </w:rPr>
        <w:t>вшимися</w:t>
      </w:r>
      <w:r w:rsidR="0031755F">
        <w:rPr>
          <w:sz w:val="28"/>
          <w:szCs w:val="28"/>
        </w:rPr>
        <w:t xml:space="preserve"> для </w:t>
      </w:r>
      <w:proofErr w:type="spellStart"/>
      <w:r w:rsidR="0031755F">
        <w:rPr>
          <w:sz w:val="28"/>
          <w:szCs w:val="28"/>
        </w:rPr>
        <w:t>сельхозтоваропроизводителей</w:t>
      </w:r>
      <w:proofErr w:type="spellEnd"/>
      <w:r w:rsidR="0031755F">
        <w:rPr>
          <w:sz w:val="28"/>
          <w:szCs w:val="28"/>
        </w:rPr>
        <w:t xml:space="preserve"> области благоприятными </w:t>
      </w:r>
      <w:r w:rsidR="001164CB">
        <w:rPr>
          <w:sz w:val="28"/>
          <w:szCs w:val="28"/>
        </w:rPr>
        <w:t>экономически</w:t>
      </w:r>
      <w:r w:rsidR="006712F1">
        <w:rPr>
          <w:sz w:val="28"/>
          <w:szCs w:val="28"/>
        </w:rPr>
        <w:t>ми</w:t>
      </w:r>
      <w:r w:rsidR="001164CB">
        <w:rPr>
          <w:sz w:val="28"/>
          <w:szCs w:val="28"/>
        </w:rPr>
        <w:t xml:space="preserve"> услови</w:t>
      </w:r>
      <w:r w:rsidR="006712F1">
        <w:rPr>
          <w:sz w:val="28"/>
          <w:szCs w:val="28"/>
        </w:rPr>
        <w:t>ями</w:t>
      </w:r>
      <w:r w:rsidR="001164CB">
        <w:rPr>
          <w:sz w:val="28"/>
          <w:szCs w:val="28"/>
        </w:rPr>
        <w:t xml:space="preserve"> </w:t>
      </w:r>
      <w:r w:rsidR="006712F1">
        <w:rPr>
          <w:sz w:val="28"/>
          <w:szCs w:val="28"/>
        </w:rPr>
        <w:t xml:space="preserve">для </w:t>
      </w:r>
      <w:r w:rsidR="0031755F">
        <w:rPr>
          <w:sz w:val="28"/>
          <w:szCs w:val="28"/>
        </w:rPr>
        <w:t>производства сельскохозяйственной продукции в результате</w:t>
      </w:r>
      <w:r w:rsidR="0031755F" w:rsidRPr="0031755F">
        <w:rPr>
          <w:sz w:val="28"/>
          <w:szCs w:val="28"/>
        </w:rPr>
        <w:t xml:space="preserve"> </w:t>
      </w:r>
      <w:r w:rsidR="0031755F">
        <w:rPr>
          <w:sz w:val="28"/>
          <w:szCs w:val="28"/>
        </w:rPr>
        <w:t>введения в 2014 году внешнеэкономических санкций в отношении России</w:t>
      </w:r>
      <w:r w:rsidR="006712F1">
        <w:rPr>
          <w:sz w:val="28"/>
          <w:szCs w:val="28"/>
        </w:rPr>
        <w:t>.</w:t>
      </w:r>
      <w:r w:rsidR="001164CB">
        <w:rPr>
          <w:sz w:val="28"/>
          <w:szCs w:val="28"/>
        </w:rPr>
        <w:t xml:space="preserve"> </w:t>
      </w:r>
    </w:p>
    <w:p w:rsidR="006A459F" w:rsidRPr="006B54D5" w:rsidRDefault="006A459F" w:rsidP="006A459F">
      <w:pPr>
        <w:pStyle w:val="a8"/>
        <w:spacing w:after="0"/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 xml:space="preserve">Отклонение </w:t>
      </w:r>
      <w:r w:rsidR="0031755F">
        <w:rPr>
          <w:sz w:val="28"/>
          <w:szCs w:val="28"/>
        </w:rPr>
        <w:t>фактического</w:t>
      </w:r>
      <w:r w:rsidRPr="006B54D5">
        <w:rPr>
          <w:sz w:val="28"/>
          <w:szCs w:val="28"/>
        </w:rPr>
        <w:t xml:space="preserve"> показателя от ранее планируемого обусловлено значительным увеличением производства продукции животноводства по всем категориям хозяйств на 24,6 % (планировался – </w:t>
      </w:r>
      <w:r>
        <w:rPr>
          <w:sz w:val="28"/>
          <w:szCs w:val="28"/>
        </w:rPr>
        <w:t xml:space="preserve">на </w:t>
      </w:r>
      <w:r w:rsidRPr="006B54D5">
        <w:rPr>
          <w:sz w:val="28"/>
          <w:szCs w:val="28"/>
        </w:rPr>
        <w:t xml:space="preserve">8,9 %) за счет увеличения объемов производства мяса скота и птицы (выращивание) во всех категориях хозяйств. </w:t>
      </w:r>
      <w:r w:rsidR="0031755F">
        <w:rPr>
          <w:sz w:val="28"/>
          <w:szCs w:val="28"/>
        </w:rPr>
        <w:t xml:space="preserve">Данный </w:t>
      </w:r>
      <w:r w:rsidR="0031755F" w:rsidRPr="006B54D5">
        <w:rPr>
          <w:sz w:val="28"/>
          <w:szCs w:val="28"/>
        </w:rPr>
        <w:t xml:space="preserve">темп роста </w:t>
      </w:r>
      <w:r w:rsidR="00D827BC">
        <w:rPr>
          <w:sz w:val="28"/>
          <w:szCs w:val="28"/>
        </w:rPr>
        <w:t>прежде всего связан с</w:t>
      </w:r>
      <w:r w:rsidR="0031755F" w:rsidRPr="006B54D5">
        <w:rPr>
          <w:sz w:val="28"/>
          <w:szCs w:val="28"/>
        </w:rPr>
        <w:t xml:space="preserve"> </w:t>
      </w:r>
      <w:r w:rsidRPr="006B54D5">
        <w:rPr>
          <w:sz w:val="28"/>
          <w:szCs w:val="28"/>
        </w:rPr>
        <w:t>увеличением объемов производства мяса свиней в 2015 году на</w:t>
      </w:r>
      <w:r w:rsidRPr="006B54D5">
        <w:rPr>
          <w:rFonts w:eastAsia="Arial Unicode MS"/>
          <w:sz w:val="28"/>
          <w:szCs w:val="28"/>
        </w:rPr>
        <w:t xml:space="preserve"> ООО «Коралл» </w:t>
      </w:r>
      <w:r w:rsidRPr="006B54D5">
        <w:rPr>
          <w:sz w:val="28"/>
          <w:szCs w:val="28"/>
        </w:rPr>
        <w:t xml:space="preserve">Бежецкого района в результате реализации инвестиционного проекта по строительству нового свиноводческого комплекса мощностью на 270 тыс. голов более ускоренными темпами и ввода первой очереди </w:t>
      </w:r>
      <w:r>
        <w:rPr>
          <w:sz w:val="28"/>
          <w:szCs w:val="28"/>
        </w:rPr>
        <w:t xml:space="preserve">комплекса </w:t>
      </w:r>
      <w:r w:rsidRPr="006B54D5">
        <w:rPr>
          <w:sz w:val="28"/>
          <w:szCs w:val="28"/>
        </w:rPr>
        <w:t>в IV квартале 2014 года (при разработке прогноза предприятие планировало ввод в 2015 году).</w:t>
      </w:r>
    </w:p>
    <w:p w:rsidR="006C1243" w:rsidRPr="006B54D5" w:rsidRDefault="006A459F" w:rsidP="006C1243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 xml:space="preserve">Кроме того, достигнут рост объемов продукции </w:t>
      </w:r>
      <w:r>
        <w:rPr>
          <w:sz w:val="28"/>
          <w:szCs w:val="28"/>
        </w:rPr>
        <w:t>растениеводства</w:t>
      </w:r>
      <w:r w:rsidRPr="006B54D5">
        <w:rPr>
          <w:sz w:val="28"/>
          <w:szCs w:val="28"/>
        </w:rPr>
        <w:t xml:space="preserve"> по всем категориям хозяйств</w:t>
      </w:r>
      <w:r w:rsidR="006C1243" w:rsidRPr="006B54D5">
        <w:rPr>
          <w:sz w:val="28"/>
          <w:szCs w:val="28"/>
        </w:rPr>
        <w:t xml:space="preserve"> на 9,2 % (против планируемого прироста 0,2 %) </w:t>
      </w:r>
      <w:r w:rsidR="00734946">
        <w:rPr>
          <w:sz w:val="28"/>
          <w:szCs w:val="28"/>
        </w:rPr>
        <w:t>в</w:t>
      </w:r>
      <w:r w:rsidR="00A10CBE">
        <w:rPr>
          <w:sz w:val="28"/>
          <w:szCs w:val="28"/>
        </w:rPr>
        <w:t> </w:t>
      </w:r>
      <w:r w:rsidR="00377003">
        <w:rPr>
          <w:sz w:val="28"/>
          <w:szCs w:val="28"/>
        </w:rPr>
        <w:t>результате</w:t>
      </w:r>
      <w:r w:rsidR="006C1243" w:rsidRPr="006B54D5">
        <w:rPr>
          <w:sz w:val="28"/>
          <w:szCs w:val="28"/>
        </w:rPr>
        <w:t xml:space="preserve"> увеличени</w:t>
      </w:r>
      <w:r w:rsidR="00377003">
        <w:rPr>
          <w:sz w:val="28"/>
          <w:szCs w:val="28"/>
        </w:rPr>
        <w:t>я</w:t>
      </w:r>
      <w:r w:rsidR="006C1243" w:rsidRPr="006B54D5">
        <w:rPr>
          <w:sz w:val="28"/>
          <w:szCs w:val="28"/>
        </w:rPr>
        <w:t xml:space="preserve"> </w:t>
      </w:r>
      <w:r w:rsidR="0031755F">
        <w:rPr>
          <w:sz w:val="28"/>
          <w:szCs w:val="28"/>
        </w:rPr>
        <w:t xml:space="preserve">производства </w:t>
      </w:r>
      <w:r w:rsidR="006C1243">
        <w:rPr>
          <w:sz w:val="28"/>
          <w:szCs w:val="28"/>
        </w:rPr>
        <w:t xml:space="preserve">растениеводческой </w:t>
      </w:r>
      <w:r w:rsidR="006C1243" w:rsidRPr="006B54D5">
        <w:rPr>
          <w:sz w:val="28"/>
          <w:szCs w:val="28"/>
        </w:rPr>
        <w:t xml:space="preserve">продукции по всем категориям хозяйств (сельхозпредприятия, крестьянские (фермерские) хозяйства, хозяйства населения) </w:t>
      </w:r>
      <w:r w:rsidR="00A10CBE">
        <w:rPr>
          <w:sz w:val="28"/>
          <w:szCs w:val="28"/>
        </w:rPr>
        <w:t>за счет</w:t>
      </w:r>
      <w:r w:rsidR="006C1243" w:rsidRPr="006B54D5">
        <w:rPr>
          <w:sz w:val="28"/>
          <w:szCs w:val="28"/>
        </w:rPr>
        <w:t xml:space="preserve"> достижения более высоких показателей урожайности сельскохозяйственных культур (при прогнозировании урожайности руководствовались динамикой за последние 5 лет), вызванных внедрением сельхозпредприятиями современных технологий выращивания и благоприятными погодными условиями.</w:t>
      </w:r>
    </w:p>
    <w:p w:rsidR="006C1243" w:rsidRDefault="006C1243" w:rsidP="00675AFB">
      <w:pPr>
        <w:ind w:firstLine="709"/>
        <w:jc w:val="both"/>
        <w:rPr>
          <w:b/>
          <w:color w:val="002060"/>
          <w:sz w:val="28"/>
          <w:szCs w:val="28"/>
        </w:rPr>
      </w:pPr>
    </w:p>
    <w:p w:rsidR="006A2361" w:rsidRPr="006B54D5" w:rsidRDefault="008B293F" w:rsidP="006A2361">
      <w:pPr>
        <w:pStyle w:val="a8"/>
        <w:spacing w:after="0"/>
        <w:ind w:firstLine="709"/>
        <w:jc w:val="both"/>
        <w:rPr>
          <w:sz w:val="28"/>
          <w:szCs w:val="28"/>
        </w:rPr>
      </w:pPr>
      <w:r w:rsidRPr="006A2361">
        <w:rPr>
          <w:b/>
          <w:sz w:val="28"/>
          <w:szCs w:val="28"/>
        </w:rPr>
        <w:t>5.</w:t>
      </w:r>
      <w:r w:rsidRPr="006A2361">
        <w:rPr>
          <w:sz w:val="28"/>
          <w:szCs w:val="28"/>
        </w:rPr>
        <w:t xml:space="preserve"> </w:t>
      </w:r>
      <w:r w:rsidR="006A2361" w:rsidRPr="006B54D5">
        <w:rPr>
          <w:sz w:val="28"/>
          <w:szCs w:val="28"/>
        </w:rPr>
        <w:t xml:space="preserve">По </w:t>
      </w:r>
      <w:r w:rsidR="006A2361" w:rsidRPr="000C77F3">
        <w:rPr>
          <w:sz w:val="28"/>
          <w:szCs w:val="28"/>
        </w:rPr>
        <w:t xml:space="preserve">показателю «Ввод в </w:t>
      </w:r>
      <w:r w:rsidR="000C77F3" w:rsidRPr="000C77F3">
        <w:rPr>
          <w:sz w:val="28"/>
          <w:szCs w:val="28"/>
        </w:rPr>
        <w:t>действие</w:t>
      </w:r>
      <w:r w:rsidR="006A2361" w:rsidRPr="000C77F3">
        <w:rPr>
          <w:sz w:val="28"/>
          <w:szCs w:val="28"/>
        </w:rPr>
        <w:t xml:space="preserve"> жилых домов» в 2015</w:t>
      </w:r>
      <w:r w:rsidR="006A2361" w:rsidRPr="006B54D5">
        <w:rPr>
          <w:sz w:val="28"/>
          <w:szCs w:val="28"/>
        </w:rPr>
        <w:t xml:space="preserve"> году отклонение прогнозного значения от фактического сост</w:t>
      </w:r>
      <w:r w:rsidR="00E860AA">
        <w:rPr>
          <w:sz w:val="28"/>
          <w:szCs w:val="28"/>
        </w:rPr>
        <w:t>авило 4,3 % по 1 </w:t>
      </w:r>
      <w:r w:rsidR="006A2361" w:rsidRPr="006B54D5">
        <w:rPr>
          <w:sz w:val="28"/>
          <w:szCs w:val="28"/>
        </w:rPr>
        <w:t xml:space="preserve">варианту прогноза и 6,1 % </w:t>
      </w:r>
      <w:r w:rsidR="0091010E">
        <w:rPr>
          <w:sz w:val="28"/>
          <w:szCs w:val="28"/>
        </w:rPr>
        <w:t>–</w:t>
      </w:r>
      <w:r w:rsidR="006A2361" w:rsidRPr="006B54D5">
        <w:rPr>
          <w:sz w:val="28"/>
          <w:szCs w:val="28"/>
        </w:rPr>
        <w:t xml:space="preserve"> по 2 варианту прогноза.</w:t>
      </w:r>
    </w:p>
    <w:p w:rsidR="006A2361" w:rsidRPr="006B54D5" w:rsidRDefault="006A2361" w:rsidP="006A2361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>Отклонение прогнозного значения от фактического обусловлено уменьшением объема ввода жилых домов, построенных населением за счет собственных и заемных средств в связи со сложной экономической ситуацией 2015 года</w:t>
      </w:r>
      <w:r w:rsidR="009031D5">
        <w:rPr>
          <w:sz w:val="28"/>
          <w:szCs w:val="28"/>
        </w:rPr>
        <w:t xml:space="preserve"> (прогноз</w:t>
      </w:r>
      <w:r w:rsidR="00D176B0">
        <w:rPr>
          <w:sz w:val="28"/>
          <w:szCs w:val="28"/>
        </w:rPr>
        <w:t xml:space="preserve"> -</w:t>
      </w:r>
      <w:r w:rsidR="009031D5">
        <w:rPr>
          <w:sz w:val="28"/>
          <w:szCs w:val="28"/>
        </w:rPr>
        <w:t xml:space="preserve"> 348–359,9 тыс. кв. м, факт</w:t>
      </w:r>
      <w:r w:rsidR="00D176B0">
        <w:rPr>
          <w:sz w:val="28"/>
          <w:szCs w:val="28"/>
        </w:rPr>
        <w:t xml:space="preserve"> -</w:t>
      </w:r>
      <w:r w:rsidR="009031D5">
        <w:rPr>
          <w:sz w:val="28"/>
          <w:szCs w:val="28"/>
        </w:rPr>
        <w:t xml:space="preserve"> 176,8 тыс. кв. м)</w:t>
      </w:r>
      <w:r w:rsidRPr="006B54D5">
        <w:rPr>
          <w:sz w:val="28"/>
          <w:szCs w:val="28"/>
        </w:rPr>
        <w:t>.</w:t>
      </w:r>
    </w:p>
    <w:p w:rsidR="006A2361" w:rsidRPr="006B54D5" w:rsidRDefault="006A2361" w:rsidP="006A2361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 xml:space="preserve">В </w:t>
      </w:r>
      <w:r w:rsidR="0031755F">
        <w:rPr>
          <w:sz w:val="28"/>
          <w:szCs w:val="28"/>
        </w:rPr>
        <w:t xml:space="preserve">целом в </w:t>
      </w:r>
      <w:r w:rsidRPr="006B54D5">
        <w:rPr>
          <w:sz w:val="28"/>
          <w:szCs w:val="28"/>
        </w:rPr>
        <w:t>2015 году вместо запланированных к вводу 580-590 тыс. кв. м жилья фактически предприятиями и организациями всех форм собственности и индивидуальными застройщиками введено в действие 556,0 тыс. кв. м общей площади жилых домов, что составляет 103,3 % к уровню 2014 года.</w:t>
      </w:r>
      <w:r w:rsidR="0031755F">
        <w:rPr>
          <w:sz w:val="28"/>
          <w:szCs w:val="28"/>
        </w:rPr>
        <w:t xml:space="preserve"> </w:t>
      </w:r>
      <w:r w:rsidRPr="006B54D5">
        <w:rPr>
          <w:sz w:val="28"/>
          <w:szCs w:val="28"/>
        </w:rPr>
        <w:t>Увеличение объемов ввода жилья относительно 2014 года стало возможным за счет активной реализации проектов комплексного освоения территорий в г. Твери в целях жилищного строительства:</w:t>
      </w:r>
    </w:p>
    <w:p w:rsidR="006A2361" w:rsidRPr="006B54D5" w:rsidRDefault="006A2361" w:rsidP="006A2361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>- строительство жилого комплекса «Зеленый остров»;</w:t>
      </w:r>
    </w:p>
    <w:p w:rsidR="006A2361" w:rsidRPr="006B54D5" w:rsidRDefault="00316B2F" w:rsidP="006A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A2361" w:rsidRPr="006B54D5">
        <w:rPr>
          <w:sz w:val="28"/>
          <w:szCs w:val="28"/>
        </w:rPr>
        <w:t>строительство жилых комплексов «Ле</w:t>
      </w:r>
      <w:r>
        <w:rPr>
          <w:sz w:val="28"/>
          <w:szCs w:val="28"/>
        </w:rPr>
        <w:t>сная мелодия» и «Лесная мелодия </w:t>
      </w:r>
      <w:r w:rsidR="006A2361" w:rsidRPr="006B54D5">
        <w:rPr>
          <w:sz w:val="28"/>
          <w:szCs w:val="28"/>
        </w:rPr>
        <w:t>2»;</w:t>
      </w:r>
    </w:p>
    <w:p w:rsidR="006A2361" w:rsidRPr="006B54D5" w:rsidRDefault="006A2361" w:rsidP="006A2361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>- жил</w:t>
      </w:r>
      <w:r w:rsidR="00020EE1">
        <w:rPr>
          <w:sz w:val="28"/>
          <w:szCs w:val="28"/>
        </w:rPr>
        <w:t>ые</w:t>
      </w:r>
      <w:r w:rsidRPr="006B54D5">
        <w:rPr>
          <w:sz w:val="28"/>
          <w:szCs w:val="28"/>
        </w:rPr>
        <w:t xml:space="preserve"> застройк</w:t>
      </w:r>
      <w:r w:rsidR="00020EE1">
        <w:rPr>
          <w:sz w:val="28"/>
          <w:szCs w:val="28"/>
        </w:rPr>
        <w:t>и</w:t>
      </w:r>
      <w:r w:rsidRPr="006B54D5">
        <w:rPr>
          <w:sz w:val="28"/>
          <w:szCs w:val="28"/>
        </w:rPr>
        <w:t xml:space="preserve"> в районе улиц</w:t>
      </w:r>
      <w:r w:rsidR="00316B2F">
        <w:rPr>
          <w:sz w:val="28"/>
          <w:szCs w:val="28"/>
        </w:rPr>
        <w:t>ы</w:t>
      </w:r>
      <w:r w:rsidRPr="006B54D5">
        <w:rPr>
          <w:sz w:val="28"/>
          <w:szCs w:val="28"/>
        </w:rPr>
        <w:t xml:space="preserve"> Псковская</w:t>
      </w:r>
      <w:r w:rsidR="00020EE1">
        <w:rPr>
          <w:sz w:val="28"/>
          <w:szCs w:val="28"/>
        </w:rPr>
        <w:t>,</w:t>
      </w:r>
      <w:r w:rsidRPr="006B54D5">
        <w:rPr>
          <w:sz w:val="28"/>
          <w:szCs w:val="28"/>
        </w:rPr>
        <w:t xml:space="preserve"> Октябрьск</w:t>
      </w:r>
      <w:r w:rsidR="00316B2F">
        <w:rPr>
          <w:sz w:val="28"/>
          <w:szCs w:val="28"/>
        </w:rPr>
        <w:t>ого</w:t>
      </w:r>
      <w:r w:rsidRPr="006B54D5">
        <w:rPr>
          <w:sz w:val="28"/>
          <w:szCs w:val="28"/>
        </w:rPr>
        <w:t xml:space="preserve"> проспект</w:t>
      </w:r>
      <w:r w:rsidR="00316B2F">
        <w:rPr>
          <w:sz w:val="28"/>
          <w:szCs w:val="28"/>
        </w:rPr>
        <w:t>а</w:t>
      </w:r>
      <w:r w:rsidRPr="006B54D5">
        <w:rPr>
          <w:sz w:val="28"/>
          <w:szCs w:val="28"/>
        </w:rPr>
        <w:t xml:space="preserve"> и други</w:t>
      </w:r>
      <w:r w:rsidR="00020EE1">
        <w:rPr>
          <w:sz w:val="28"/>
          <w:szCs w:val="28"/>
        </w:rPr>
        <w:t>е</w:t>
      </w:r>
      <w:r w:rsidRPr="006B54D5">
        <w:rPr>
          <w:sz w:val="28"/>
          <w:szCs w:val="28"/>
        </w:rPr>
        <w:t>.</w:t>
      </w:r>
    </w:p>
    <w:p w:rsidR="006A2361" w:rsidRPr="006B54D5" w:rsidRDefault="006A2361" w:rsidP="006A2361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lastRenderedPageBreak/>
        <w:t xml:space="preserve">Осуществлялась реализация проектов комплексного освоения территорий в д. </w:t>
      </w:r>
      <w:proofErr w:type="spellStart"/>
      <w:r w:rsidRPr="006B54D5">
        <w:rPr>
          <w:sz w:val="28"/>
          <w:szCs w:val="28"/>
        </w:rPr>
        <w:t>Батино</w:t>
      </w:r>
      <w:proofErr w:type="spellEnd"/>
      <w:r w:rsidRPr="006B54D5">
        <w:rPr>
          <w:sz w:val="28"/>
          <w:szCs w:val="28"/>
        </w:rPr>
        <w:t xml:space="preserve"> Калининского района. Вовлекаются в оборот земли, находящиеся в частной собственности. Кроме того, ежегодно каждым муниципальным образованием Тверской области разрабатываются мероприятия по вводу жилья. </w:t>
      </w:r>
    </w:p>
    <w:p w:rsidR="006C1243" w:rsidRDefault="006C1243" w:rsidP="00675AFB">
      <w:pPr>
        <w:ind w:firstLine="709"/>
        <w:jc w:val="both"/>
        <w:rPr>
          <w:b/>
          <w:color w:val="002060"/>
          <w:sz w:val="28"/>
          <w:szCs w:val="28"/>
        </w:rPr>
      </w:pPr>
    </w:p>
    <w:p w:rsidR="00FB67CC" w:rsidRPr="003D1622" w:rsidRDefault="00366B51" w:rsidP="00FB67CC">
      <w:pPr>
        <w:ind w:firstLine="709"/>
        <w:jc w:val="both"/>
        <w:rPr>
          <w:sz w:val="28"/>
          <w:szCs w:val="28"/>
        </w:rPr>
      </w:pPr>
      <w:r w:rsidRPr="00FB67CC">
        <w:rPr>
          <w:b/>
          <w:sz w:val="28"/>
          <w:szCs w:val="28"/>
        </w:rPr>
        <w:t>6</w:t>
      </w:r>
      <w:r w:rsidRPr="00FB67CC">
        <w:rPr>
          <w:sz w:val="28"/>
          <w:szCs w:val="28"/>
        </w:rPr>
        <w:t xml:space="preserve">. </w:t>
      </w:r>
      <w:r w:rsidR="00FB67CC" w:rsidRPr="00F465C3">
        <w:rPr>
          <w:sz w:val="28"/>
          <w:szCs w:val="28"/>
        </w:rPr>
        <w:t>По показателю «Индекс потребительских цен за период с начала года»</w:t>
      </w:r>
      <w:r w:rsidR="00FB67CC">
        <w:rPr>
          <w:sz w:val="28"/>
          <w:szCs w:val="28"/>
        </w:rPr>
        <w:t xml:space="preserve"> о</w:t>
      </w:r>
      <w:r w:rsidR="00FB67CC" w:rsidRPr="00D15EF5">
        <w:rPr>
          <w:sz w:val="28"/>
          <w:szCs w:val="28"/>
        </w:rPr>
        <w:t>тклонение прогнозного значения</w:t>
      </w:r>
      <w:r w:rsidR="00FB67CC">
        <w:rPr>
          <w:sz w:val="28"/>
          <w:szCs w:val="28"/>
        </w:rPr>
        <w:t xml:space="preserve"> </w:t>
      </w:r>
      <w:r w:rsidR="00FB67CC" w:rsidRPr="00D15EF5">
        <w:rPr>
          <w:sz w:val="28"/>
          <w:szCs w:val="28"/>
        </w:rPr>
        <w:t xml:space="preserve">от фактического значения </w:t>
      </w:r>
      <w:r w:rsidR="00FB67CC">
        <w:rPr>
          <w:sz w:val="28"/>
          <w:szCs w:val="28"/>
        </w:rPr>
        <w:t xml:space="preserve">за 2015 год к </w:t>
      </w:r>
      <w:r w:rsidR="003B4242">
        <w:rPr>
          <w:sz w:val="28"/>
          <w:szCs w:val="28"/>
        </w:rPr>
        <w:t>2014 </w:t>
      </w:r>
      <w:r w:rsidR="00FB67CC">
        <w:rPr>
          <w:sz w:val="28"/>
          <w:szCs w:val="28"/>
        </w:rPr>
        <w:t>год</w:t>
      </w:r>
      <w:r w:rsidR="00F9613B">
        <w:rPr>
          <w:sz w:val="28"/>
          <w:szCs w:val="28"/>
        </w:rPr>
        <w:t>у</w:t>
      </w:r>
      <w:r w:rsidR="00FB67CC">
        <w:rPr>
          <w:sz w:val="28"/>
          <w:szCs w:val="28"/>
        </w:rPr>
        <w:t xml:space="preserve"> </w:t>
      </w:r>
      <w:r w:rsidR="00FB67CC" w:rsidRPr="00D15EF5">
        <w:rPr>
          <w:sz w:val="28"/>
          <w:szCs w:val="28"/>
        </w:rPr>
        <w:t xml:space="preserve">составило </w:t>
      </w:r>
      <w:r w:rsidR="00FB67CC">
        <w:rPr>
          <w:sz w:val="28"/>
          <w:szCs w:val="28"/>
        </w:rPr>
        <w:t>минус 11,2 </w:t>
      </w:r>
      <w:r w:rsidR="00FB67CC" w:rsidRPr="00D15EF5">
        <w:rPr>
          <w:sz w:val="28"/>
          <w:szCs w:val="28"/>
        </w:rPr>
        <w:t>процентного пункта</w:t>
      </w:r>
      <w:r w:rsidR="00FB67CC">
        <w:rPr>
          <w:sz w:val="28"/>
          <w:szCs w:val="28"/>
        </w:rPr>
        <w:t xml:space="preserve"> по двум вариантам прогноза, что </w:t>
      </w:r>
      <w:r w:rsidR="00FB67CC" w:rsidRPr="00D15EF5">
        <w:rPr>
          <w:sz w:val="28"/>
          <w:szCs w:val="28"/>
        </w:rPr>
        <w:t>объясняется значительным повышением цен в</w:t>
      </w:r>
      <w:r w:rsidR="00FB67CC">
        <w:rPr>
          <w:sz w:val="28"/>
          <w:szCs w:val="28"/>
        </w:rPr>
        <w:t xml:space="preserve"> 2015 году </w:t>
      </w:r>
      <w:r w:rsidR="00FB67CC" w:rsidRPr="00D15EF5">
        <w:rPr>
          <w:sz w:val="28"/>
          <w:szCs w:val="28"/>
        </w:rPr>
        <w:t>на </w:t>
      </w:r>
      <w:r w:rsidR="00FB67CC">
        <w:rPr>
          <w:sz w:val="28"/>
          <w:szCs w:val="28"/>
        </w:rPr>
        <w:t xml:space="preserve">продовольственные (на 19,7 %) и непродовольственные (на 15,7 %) </w:t>
      </w:r>
      <w:r w:rsidR="003B4242">
        <w:rPr>
          <w:sz w:val="28"/>
          <w:szCs w:val="28"/>
        </w:rPr>
        <w:t xml:space="preserve">товары </w:t>
      </w:r>
      <w:r w:rsidR="00FB67CC">
        <w:rPr>
          <w:sz w:val="28"/>
          <w:szCs w:val="28"/>
        </w:rPr>
        <w:t>вследствие</w:t>
      </w:r>
      <w:r w:rsidR="00FB67CC" w:rsidRPr="00E009EF">
        <w:rPr>
          <w:sz w:val="28"/>
          <w:szCs w:val="28"/>
        </w:rPr>
        <w:t xml:space="preserve"> </w:t>
      </w:r>
      <w:r w:rsidR="00FB67CC" w:rsidRPr="003D1622">
        <w:rPr>
          <w:sz w:val="28"/>
          <w:szCs w:val="28"/>
        </w:rPr>
        <w:t>ослабле</w:t>
      </w:r>
      <w:r w:rsidR="00FB67CC">
        <w:rPr>
          <w:sz w:val="28"/>
          <w:szCs w:val="28"/>
        </w:rPr>
        <w:t>ния</w:t>
      </w:r>
      <w:r w:rsidR="00FB67CC" w:rsidRPr="003D1622">
        <w:rPr>
          <w:sz w:val="28"/>
          <w:szCs w:val="28"/>
        </w:rPr>
        <w:t xml:space="preserve"> курса рубля</w:t>
      </w:r>
      <w:r w:rsidR="00A10CBE">
        <w:rPr>
          <w:sz w:val="28"/>
          <w:szCs w:val="28"/>
        </w:rPr>
        <w:t>. Н</w:t>
      </w:r>
      <w:r w:rsidR="00FB67CC">
        <w:rPr>
          <w:sz w:val="28"/>
          <w:szCs w:val="28"/>
        </w:rPr>
        <w:t>а рост цен на продовольственные товары отрицательное влияние оказали</w:t>
      </w:r>
      <w:r w:rsidR="00ED6FC0">
        <w:rPr>
          <w:sz w:val="28"/>
          <w:szCs w:val="28"/>
        </w:rPr>
        <w:t>,</w:t>
      </w:r>
      <w:r w:rsidR="00FB67CC">
        <w:rPr>
          <w:sz w:val="28"/>
          <w:szCs w:val="28"/>
        </w:rPr>
        <w:t xml:space="preserve"> </w:t>
      </w:r>
      <w:r w:rsidR="00A10CBE">
        <w:rPr>
          <w:sz w:val="28"/>
          <w:szCs w:val="28"/>
        </w:rPr>
        <w:t>в том числе</w:t>
      </w:r>
      <w:r w:rsidR="00ED6FC0">
        <w:rPr>
          <w:sz w:val="28"/>
          <w:szCs w:val="28"/>
        </w:rPr>
        <w:t>,</w:t>
      </w:r>
      <w:r w:rsidR="00A10CBE">
        <w:rPr>
          <w:sz w:val="28"/>
          <w:szCs w:val="28"/>
        </w:rPr>
        <w:t xml:space="preserve"> </w:t>
      </w:r>
      <w:r w:rsidR="00FB67CC">
        <w:rPr>
          <w:sz w:val="28"/>
          <w:szCs w:val="28"/>
        </w:rPr>
        <w:t>ограничительные меры по импорту отдельных виды продуктов питания</w:t>
      </w:r>
      <w:r w:rsidR="00FB67CC" w:rsidRPr="003D1622">
        <w:rPr>
          <w:sz w:val="28"/>
          <w:szCs w:val="28"/>
        </w:rPr>
        <w:t xml:space="preserve">. </w:t>
      </w:r>
    </w:p>
    <w:p w:rsidR="00FB67CC" w:rsidRPr="000E3B18" w:rsidRDefault="00FB67CC" w:rsidP="00FB67CC">
      <w:pPr>
        <w:ind w:firstLine="709"/>
        <w:jc w:val="both"/>
        <w:rPr>
          <w:sz w:val="28"/>
          <w:szCs w:val="28"/>
        </w:rPr>
      </w:pPr>
      <w:r w:rsidRPr="000E3B18">
        <w:rPr>
          <w:sz w:val="28"/>
          <w:szCs w:val="28"/>
        </w:rPr>
        <w:t>Прогноз показателей по индексу потребительских цен разрабатывался на основе индексов цен, сложившихся в 201</w:t>
      </w:r>
      <w:r w:rsidR="0019574B">
        <w:rPr>
          <w:sz w:val="28"/>
          <w:szCs w:val="28"/>
        </w:rPr>
        <w:t>3</w:t>
      </w:r>
      <w:r w:rsidRPr="000E3B18">
        <w:rPr>
          <w:sz w:val="28"/>
          <w:szCs w:val="28"/>
        </w:rPr>
        <w:t xml:space="preserve"> году</w:t>
      </w:r>
      <w:r w:rsidR="0019574B">
        <w:rPr>
          <w:sz w:val="28"/>
          <w:szCs w:val="28"/>
        </w:rPr>
        <w:t xml:space="preserve">, оценки уровня инфляции в 2014 году </w:t>
      </w:r>
      <w:r w:rsidRPr="000E3B18">
        <w:rPr>
          <w:sz w:val="28"/>
          <w:szCs w:val="28"/>
        </w:rPr>
        <w:t>и</w:t>
      </w:r>
      <w:r>
        <w:rPr>
          <w:sz w:val="28"/>
          <w:szCs w:val="28"/>
        </w:rPr>
        <w:t xml:space="preserve"> прогноз</w:t>
      </w:r>
      <w:r w:rsidR="0019574B">
        <w:rPr>
          <w:sz w:val="28"/>
          <w:szCs w:val="28"/>
        </w:rPr>
        <w:t xml:space="preserve">ных </w:t>
      </w:r>
      <w:r w:rsidRPr="000E3B18">
        <w:rPr>
          <w:sz w:val="28"/>
          <w:szCs w:val="28"/>
        </w:rPr>
        <w:t xml:space="preserve">показателей </w:t>
      </w:r>
      <w:r w:rsidR="00EE238F" w:rsidRPr="000E3B18">
        <w:rPr>
          <w:sz w:val="28"/>
          <w:szCs w:val="28"/>
        </w:rPr>
        <w:t>индекс</w:t>
      </w:r>
      <w:r w:rsidR="00EE238F">
        <w:rPr>
          <w:sz w:val="28"/>
          <w:szCs w:val="28"/>
        </w:rPr>
        <w:t>а</w:t>
      </w:r>
      <w:r w:rsidR="00EE238F" w:rsidRPr="000E3B18">
        <w:rPr>
          <w:sz w:val="28"/>
          <w:szCs w:val="28"/>
        </w:rPr>
        <w:t xml:space="preserve"> потребительских цен </w:t>
      </w:r>
      <w:r w:rsidRPr="000E3B18">
        <w:rPr>
          <w:sz w:val="28"/>
          <w:szCs w:val="28"/>
        </w:rPr>
        <w:t>до 201</w:t>
      </w:r>
      <w:r>
        <w:rPr>
          <w:sz w:val="28"/>
          <w:szCs w:val="28"/>
        </w:rPr>
        <w:t>7</w:t>
      </w:r>
      <w:r w:rsidR="00EE238F">
        <w:rPr>
          <w:sz w:val="28"/>
          <w:szCs w:val="28"/>
        </w:rPr>
        <w:t> </w:t>
      </w:r>
      <w:r w:rsidRPr="000E3B18">
        <w:rPr>
          <w:sz w:val="28"/>
          <w:szCs w:val="28"/>
        </w:rPr>
        <w:t>года</w:t>
      </w:r>
      <w:r w:rsidR="0019574B">
        <w:rPr>
          <w:sz w:val="28"/>
          <w:szCs w:val="28"/>
        </w:rPr>
        <w:t>, утвержденных</w:t>
      </w:r>
      <w:r>
        <w:rPr>
          <w:sz w:val="28"/>
          <w:szCs w:val="28"/>
        </w:rPr>
        <w:t xml:space="preserve"> </w:t>
      </w:r>
      <w:r w:rsidR="00A10CBE" w:rsidRPr="00E320AE">
        <w:rPr>
          <w:sz w:val="28"/>
          <w:szCs w:val="28"/>
        </w:rPr>
        <w:t>Правительством Российской Федерации</w:t>
      </w:r>
      <w:r w:rsidR="00A10CBE">
        <w:rPr>
          <w:sz w:val="28"/>
          <w:szCs w:val="28"/>
        </w:rPr>
        <w:t>.</w:t>
      </w:r>
    </w:p>
    <w:p w:rsidR="00FB67CC" w:rsidRDefault="00FB67CC" w:rsidP="00FB67CC">
      <w:pPr>
        <w:ind w:firstLine="709"/>
        <w:jc w:val="both"/>
        <w:rPr>
          <w:sz w:val="28"/>
          <w:szCs w:val="28"/>
        </w:rPr>
      </w:pPr>
      <w:r w:rsidRPr="008F0851">
        <w:rPr>
          <w:sz w:val="28"/>
          <w:szCs w:val="28"/>
        </w:rPr>
        <w:t xml:space="preserve">Следует отметить, что в целом по России фактический </w:t>
      </w:r>
      <w:r>
        <w:rPr>
          <w:sz w:val="28"/>
          <w:szCs w:val="28"/>
        </w:rPr>
        <w:t>индекс потребительских цен за 2015 год к 2014 год</w:t>
      </w:r>
      <w:r w:rsidR="00C2544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F0851">
        <w:rPr>
          <w:sz w:val="28"/>
          <w:szCs w:val="28"/>
        </w:rPr>
        <w:t xml:space="preserve">превысил прогнозное </w:t>
      </w:r>
      <w:r w:rsidRPr="004E5718">
        <w:rPr>
          <w:sz w:val="28"/>
          <w:szCs w:val="28"/>
        </w:rPr>
        <w:t>значение (105,1 %) на 10</w:t>
      </w:r>
      <w:r>
        <w:rPr>
          <w:sz w:val="28"/>
          <w:szCs w:val="28"/>
        </w:rPr>
        <w:t xml:space="preserve">,4 </w:t>
      </w:r>
      <w:r w:rsidRPr="00D15EF5">
        <w:rPr>
          <w:sz w:val="28"/>
          <w:szCs w:val="28"/>
        </w:rPr>
        <w:t>процентного пункта</w:t>
      </w:r>
      <w:r>
        <w:rPr>
          <w:sz w:val="28"/>
          <w:szCs w:val="28"/>
        </w:rPr>
        <w:t xml:space="preserve"> </w:t>
      </w:r>
      <w:r w:rsidRPr="00624765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115,5</w:t>
      </w:r>
      <w:r w:rsidRPr="00624765">
        <w:rPr>
          <w:sz w:val="28"/>
          <w:szCs w:val="28"/>
        </w:rPr>
        <w:t xml:space="preserve"> %.</w:t>
      </w:r>
    </w:p>
    <w:p w:rsidR="00C31E7E" w:rsidRPr="00EB0B3C" w:rsidRDefault="00C31E7E" w:rsidP="00366B51">
      <w:pPr>
        <w:ind w:firstLine="709"/>
        <w:jc w:val="both"/>
        <w:rPr>
          <w:b/>
          <w:color w:val="002060"/>
          <w:sz w:val="28"/>
          <w:szCs w:val="28"/>
        </w:rPr>
      </w:pPr>
    </w:p>
    <w:p w:rsidR="004B376F" w:rsidRPr="00964E8D" w:rsidRDefault="00366B51" w:rsidP="004B376F">
      <w:pPr>
        <w:ind w:firstLine="709"/>
        <w:jc w:val="both"/>
        <w:rPr>
          <w:sz w:val="28"/>
          <w:szCs w:val="28"/>
        </w:rPr>
      </w:pPr>
      <w:r w:rsidRPr="00FC006C">
        <w:rPr>
          <w:b/>
          <w:sz w:val="28"/>
          <w:szCs w:val="28"/>
        </w:rPr>
        <w:t>7.</w:t>
      </w:r>
      <w:r w:rsidR="00FC006C">
        <w:rPr>
          <w:sz w:val="28"/>
          <w:szCs w:val="28"/>
        </w:rPr>
        <w:t xml:space="preserve"> </w:t>
      </w:r>
      <w:r w:rsidR="004B376F" w:rsidRPr="00CF52B9">
        <w:rPr>
          <w:sz w:val="28"/>
          <w:szCs w:val="28"/>
        </w:rPr>
        <w:t>Оборот розничной торговли</w:t>
      </w:r>
      <w:r w:rsidR="004B376F" w:rsidRPr="00964E8D">
        <w:rPr>
          <w:sz w:val="28"/>
          <w:szCs w:val="28"/>
        </w:rPr>
        <w:t xml:space="preserve"> за 2015 год составил </w:t>
      </w:r>
      <w:r w:rsidR="004B376F">
        <w:rPr>
          <w:sz w:val="28"/>
          <w:szCs w:val="28"/>
        </w:rPr>
        <w:t>211 105,3</w:t>
      </w:r>
      <w:r w:rsidR="004B376F" w:rsidRPr="00964E8D">
        <w:rPr>
          <w:sz w:val="28"/>
          <w:szCs w:val="28"/>
        </w:rPr>
        <w:t xml:space="preserve"> млн рублей, или </w:t>
      </w:r>
      <w:r w:rsidR="004B376F">
        <w:rPr>
          <w:sz w:val="28"/>
          <w:szCs w:val="28"/>
        </w:rPr>
        <w:t>88,7</w:t>
      </w:r>
      <w:r w:rsidR="004B376F" w:rsidRPr="00964E8D">
        <w:rPr>
          <w:sz w:val="28"/>
          <w:szCs w:val="28"/>
        </w:rPr>
        <w:t xml:space="preserve"> % к уровню 2014 года в сопоставимых ценах. </w:t>
      </w:r>
    </w:p>
    <w:p w:rsidR="004B376F" w:rsidRPr="00964E8D" w:rsidRDefault="004B376F" w:rsidP="004B376F">
      <w:pPr>
        <w:ind w:firstLine="709"/>
        <w:jc w:val="both"/>
        <w:rPr>
          <w:sz w:val="28"/>
          <w:szCs w:val="28"/>
        </w:rPr>
      </w:pPr>
      <w:r w:rsidRPr="00CF52B9">
        <w:rPr>
          <w:sz w:val="28"/>
          <w:szCs w:val="28"/>
        </w:rPr>
        <w:t xml:space="preserve">Отклонение </w:t>
      </w:r>
      <w:r w:rsidRPr="00964E8D">
        <w:rPr>
          <w:sz w:val="28"/>
          <w:szCs w:val="28"/>
        </w:rPr>
        <w:t xml:space="preserve">прогнозной величины темпа роста </w:t>
      </w:r>
      <w:r>
        <w:rPr>
          <w:sz w:val="28"/>
          <w:szCs w:val="28"/>
        </w:rPr>
        <w:t xml:space="preserve">оборота розничной торговли </w:t>
      </w:r>
      <w:r w:rsidRPr="00CF52B9">
        <w:rPr>
          <w:sz w:val="28"/>
          <w:szCs w:val="28"/>
        </w:rPr>
        <w:t xml:space="preserve">к предыдущему году в </w:t>
      </w:r>
      <w:r w:rsidRPr="00964E8D">
        <w:rPr>
          <w:sz w:val="28"/>
          <w:szCs w:val="28"/>
        </w:rPr>
        <w:t>сопоставимых ценах по 1 варианту составило 15,0 процентного пункта, по 2 варианту –</w:t>
      </w:r>
      <w:r w:rsidR="0078489D">
        <w:rPr>
          <w:sz w:val="28"/>
          <w:szCs w:val="28"/>
        </w:rPr>
        <w:t xml:space="preserve"> </w:t>
      </w:r>
      <w:r w:rsidRPr="00964E8D">
        <w:rPr>
          <w:sz w:val="28"/>
          <w:szCs w:val="28"/>
        </w:rPr>
        <w:t>15,3 процентного пункта, что обусловлено снижением потреби</w:t>
      </w:r>
      <w:r>
        <w:rPr>
          <w:sz w:val="28"/>
          <w:szCs w:val="28"/>
        </w:rPr>
        <w:t>тельской активности населения вследствие</w:t>
      </w:r>
      <w:r w:rsidRPr="00964E8D">
        <w:rPr>
          <w:sz w:val="28"/>
          <w:szCs w:val="28"/>
        </w:rPr>
        <w:t xml:space="preserve"> </w:t>
      </w:r>
      <w:r w:rsidR="0019574B">
        <w:rPr>
          <w:sz w:val="28"/>
          <w:szCs w:val="28"/>
        </w:rPr>
        <w:t xml:space="preserve">высокой </w:t>
      </w:r>
      <w:r w:rsidRPr="00964E8D">
        <w:rPr>
          <w:sz w:val="28"/>
          <w:szCs w:val="28"/>
        </w:rPr>
        <w:t>инфляции</w:t>
      </w:r>
      <w:r w:rsidR="0019574B">
        <w:rPr>
          <w:sz w:val="28"/>
          <w:szCs w:val="28"/>
        </w:rPr>
        <w:t xml:space="preserve"> и снижения реальных доходов населения</w:t>
      </w:r>
      <w:r w:rsidRPr="00964E8D">
        <w:rPr>
          <w:sz w:val="28"/>
          <w:szCs w:val="28"/>
        </w:rPr>
        <w:t>.</w:t>
      </w:r>
      <w:r w:rsidR="0003395E">
        <w:rPr>
          <w:sz w:val="28"/>
          <w:szCs w:val="28"/>
        </w:rPr>
        <w:t xml:space="preserve"> </w:t>
      </w:r>
    </w:p>
    <w:p w:rsidR="004B376F" w:rsidRDefault="004B376F" w:rsidP="004B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F3AFC">
        <w:rPr>
          <w:sz w:val="28"/>
          <w:szCs w:val="28"/>
        </w:rPr>
        <w:t>превышения</w:t>
      </w:r>
      <w:r>
        <w:rPr>
          <w:sz w:val="28"/>
          <w:szCs w:val="28"/>
        </w:rPr>
        <w:t xml:space="preserve"> </w:t>
      </w:r>
      <w:r w:rsidR="007866A9">
        <w:rPr>
          <w:sz w:val="28"/>
          <w:szCs w:val="28"/>
        </w:rPr>
        <w:t>в 2015 году</w:t>
      </w:r>
      <w:r w:rsidR="007866A9" w:rsidRPr="00CF52B9">
        <w:rPr>
          <w:sz w:val="28"/>
          <w:szCs w:val="28"/>
        </w:rPr>
        <w:t xml:space="preserve"> </w:t>
      </w:r>
      <w:r w:rsidR="001F3AFC">
        <w:rPr>
          <w:sz w:val="28"/>
          <w:szCs w:val="28"/>
        </w:rPr>
        <w:t xml:space="preserve">фактического значения </w:t>
      </w:r>
      <w:r>
        <w:rPr>
          <w:sz w:val="28"/>
          <w:szCs w:val="28"/>
        </w:rPr>
        <w:t xml:space="preserve">индекса-дефлятора оборота розничной торговли </w:t>
      </w:r>
      <w:r w:rsidRPr="00CF52B9">
        <w:rPr>
          <w:sz w:val="28"/>
          <w:szCs w:val="28"/>
        </w:rPr>
        <w:t xml:space="preserve">по отношению к </w:t>
      </w:r>
      <w:r w:rsidR="001F3AFC">
        <w:rPr>
          <w:sz w:val="28"/>
          <w:szCs w:val="28"/>
        </w:rPr>
        <w:t>прогнозируемому</w:t>
      </w:r>
      <w:r>
        <w:rPr>
          <w:sz w:val="28"/>
          <w:szCs w:val="28"/>
        </w:rPr>
        <w:t xml:space="preserve"> </w:t>
      </w:r>
      <w:r w:rsidR="001F3AFC">
        <w:rPr>
          <w:sz w:val="28"/>
          <w:szCs w:val="28"/>
        </w:rPr>
        <w:t xml:space="preserve">значению </w:t>
      </w:r>
      <w:r>
        <w:rPr>
          <w:sz w:val="28"/>
          <w:szCs w:val="28"/>
        </w:rPr>
        <w:t xml:space="preserve">отклонение </w:t>
      </w:r>
      <w:r w:rsidRPr="00CF52B9">
        <w:rPr>
          <w:sz w:val="28"/>
          <w:szCs w:val="28"/>
        </w:rPr>
        <w:t>прогнозной величины</w:t>
      </w:r>
      <w:r>
        <w:rPr>
          <w:sz w:val="28"/>
          <w:szCs w:val="28"/>
        </w:rPr>
        <w:t xml:space="preserve"> о</w:t>
      </w:r>
      <w:r w:rsidRPr="00CF52B9">
        <w:rPr>
          <w:sz w:val="28"/>
          <w:szCs w:val="28"/>
        </w:rPr>
        <w:t>борот</w:t>
      </w:r>
      <w:r>
        <w:rPr>
          <w:sz w:val="28"/>
          <w:szCs w:val="28"/>
        </w:rPr>
        <w:t>а</w:t>
      </w:r>
      <w:r w:rsidRPr="00CF52B9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 xml:space="preserve"> </w:t>
      </w:r>
      <w:r w:rsidR="00650669">
        <w:rPr>
          <w:sz w:val="28"/>
          <w:szCs w:val="28"/>
        </w:rPr>
        <w:t xml:space="preserve">(в действующих ценах) </w:t>
      </w:r>
      <w:r w:rsidRPr="00CF52B9">
        <w:rPr>
          <w:sz w:val="28"/>
          <w:szCs w:val="28"/>
        </w:rPr>
        <w:t>к фактическо</w:t>
      </w:r>
      <w:r w:rsidR="001F3AFC">
        <w:rPr>
          <w:sz w:val="28"/>
          <w:szCs w:val="28"/>
        </w:rPr>
        <w:t>й</w:t>
      </w:r>
      <w:r w:rsidRPr="00CF52B9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1,4</w:t>
      </w:r>
      <w:r w:rsidRPr="00CF52B9">
        <w:rPr>
          <w:sz w:val="28"/>
          <w:szCs w:val="28"/>
        </w:rPr>
        <w:t xml:space="preserve"> % по 1</w:t>
      </w:r>
      <w:r>
        <w:rPr>
          <w:sz w:val="28"/>
          <w:szCs w:val="28"/>
        </w:rPr>
        <w:t> </w:t>
      </w:r>
      <w:r w:rsidRPr="00CF52B9">
        <w:rPr>
          <w:sz w:val="28"/>
          <w:szCs w:val="28"/>
        </w:rPr>
        <w:t xml:space="preserve">варианту прогноза и </w:t>
      </w:r>
      <w:r>
        <w:rPr>
          <w:sz w:val="28"/>
          <w:szCs w:val="28"/>
        </w:rPr>
        <w:t>1,6</w:t>
      </w:r>
      <w:r w:rsidRPr="00CF52B9">
        <w:rPr>
          <w:sz w:val="28"/>
          <w:szCs w:val="28"/>
        </w:rPr>
        <w:t xml:space="preserve"> % </w:t>
      </w:r>
      <w:r>
        <w:rPr>
          <w:sz w:val="28"/>
          <w:szCs w:val="28"/>
        </w:rPr>
        <w:t>– по 2 варианту прогноза.</w:t>
      </w:r>
    </w:p>
    <w:p w:rsidR="00C31E7E" w:rsidRPr="00EB0B3C" w:rsidRDefault="00C31E7E" w:rsidP="00366B51">
      <w:pPr>
        <w:ind w:firstLine="709"/>
        <w:jc w:val="both"/>
        <w:rPr>
          <w:b/>
          <w:color w:val="002060"/>
          <w:sz w:val="28"/>
          <w:szCs w:val="28"/>
        </w:rPr>
      </w:pPr>
    </w:p>
    <w:p w:rsidR="00727543" w:rsidRPr="00964E8D" w:rsidRDefault="00727543" w:rsidP="00727543">
      <w:pPr>
        <w:ind w:firstLine="709"/>
        <w:jc w:val="both"/>
        <w:rPr>
          <w:sz w:val="28"/>
          <w:szCs w:val="28"/>
        </w:rPr>
      </w:pPr>
      <w:r w:rsidRPr="00964E8D">
        <w:rPr>
          <w:b/>
          <w:sz w:val="28"/>
          <w:szCs w:val="28"/>
        </w:rPr>
        <w:t>8.</w:t>
      </w:r>
      <w:r w:rsidRPr="00964E8D">
        <w:rPr>
          <w:sz w:val="28"/>
          <w:szCs w:val="28"/>
        </w:rPr>
        <w:t xml:space="preserve"> Объем платных услуг населению Тверской области за 2015 год составил 51 128,9 млн рублей, или 101,9 % к уровню 2014 года в сопоставимых ценах. </w:t>
      </w:r>
    </w:p>
    <w:p w:rsidR="00727543" w:rsidRPr="00964E8D" w:rsidRDefault="00727543" w:rsidP="00727543">
      <w:pPr>
        <w:ind w:firstLine="709"/>
        <w:jc w:val="both"/>
        <w:rPr>
          <w:sz w:val="28"/>
          <w:szCs w:val="28"/>
        </w:rPr>
      </w:pPr>
      <w:r w:rsidRPr="00964E8D">
        <w:rPr>
          <w:sz w:val="28"/>
          <w:szCs w:val="28"/>
        </w:rPr>
        <w:t xml:space="preserve">Отклонение прогнозной величины темпа роста объема платных услуг населению (в сопоставимых ценах) </w:t>
      </w:r>
      <w:r w:rsidR="0019574B">
        <w:rPr>
          <w:sz w:val="28"/>
          <w:szCs w:val="28"/>
        </w:rPr>
        <w:t>от</w:t>
      </w:r>
      <w:r w:rsidRPr="00964E8D">
        <w:rPr>
          <w:sz w:val="28"/>
          <w:szCs w:val="28"/>
        </w:rPr>
        <w:t xml:space="preserve"> фактическо</w:t>
      </w:r>
      <w:r w:rsidR="0019574B">
        <w:rPr>
          <w:sz w:val="28"/>
          <w:szCs w:val="28"/>
        </w:rPr>
        <w:t>го</w:t>
      </w:r>
      <w:r w:rsidRPr="00964E8D">
        <w:rPr>
          <w:sz w:val="28"/>
          <w:szCs w:val="28"/>
        </w:rPr>
        <w:t xml:space="preserve"> значени</w:t>
      </w:r>
      <w:r w:rsidR="0019574B">
        <w:rPr>
          <w:sz w:val="28"/>
          <w:szCs w:val="28"/>
        </w:rPr>
        <w:t>я</w:t>
      </w:r>
      <w:r w:rsidRPr="00964E8D">
        <w:rPr>
          <w:sz w:val="28"/>
          <w:szCs w:val="28"/>
        </w:rPr>
        <w:t xml:space="preserve"> составило минус 1,5 процентного пункта по 1 варианту прогноза и минус 1,2 процентного пункта – по 2 варианту прогноза. </w:t>
      </w:r>
      <w:r w:rsidR="0019574B">
        <w:rPr>
          <w:sz w:val="28"/>
          <w:szCs w:val="28"/>
        </w:rPr>
        <w:t>Р</w:t>
      </w:r>
      <w:r w:rsidRPr="00964E8D">
        <w:rPr>
          <w:rFonts w:eastAsia="MS Mincho"/>
          <w:bCs/>
          <w:sz w:val="28"/>
          <w:szCs w:val="28"/>
          <w:lang w:eastAsia="ja-JP"/>
        </w:rPr>
        <w:t xml:space="preserve">ост </w:t>
      </w:r>
      <w:r>
        <w:rPr>
          <w:rFonts w:eastAsia="MS Mincho"/>
          <w:bCs/>
          <w:sz w:val="28"/>
          <w:szCs w:val="28"/>
          <w:lang w:eastAsia="ja-JP"/>
        </w:rPr>
        <w:t xml:space="preserve">физического </w:t>
      </w:r>
      <w:r w:rsidRPr="00964E8D">
        <w:rPr>
          <w:rFonts w:eastAsia="MS Mincho"/>
          <w:bCs/>
          <w:sz w:val="28"/>
          <w:szCs w:val="28"/>
          <w:lang w:eastAsia="ja-JP"/>
        </w:rPr>
        <w:t xml:space="preserve">объема платных услуг </w:t>
      </w:r>
      <w:r w:rsidR="0019574B">
        <w:rPr>
          <w:rFonts w:eastAsia="MS Mincho"/>
          <w:bCs/>
          <w:sz w:val="28"/>
          <w:szCs w:val="28"/>
          <w:lang w:eastAsia="ja-JP"/>
        </w:rPr>
        <w:t>обусловлен</w:t>
      </w:r>
      <w:r w:rsidRPr="00964E8D">
        <w:rPr>
          <w:rFonts w:eastAsia="MS Mincho"/>
          <w:bCs/>
          <w:sz w:val="28"/>
          <w:szCs w:val="28"/>
          <w:lang w:eastAsia="ja-JP"/>
        </w:rPr>
        <w:t xml:space="preserve"> увеличение</w:t>
      </w:r>
      <w:r w:rsidR="0019574B">
        <w:rPr>
          <w:rFonts w:eastAsia="MS Mincho"/>
          <w:bCs/>
          <w:sz w:val="28"/>
          <w:szCs w:val="28"/>
          <w:lang w:eastAsia="ja-JP"/>
        </w:rPr>
        <w:t>м</w:t>
      </w:r>
      <w:r w:rsidRPr="00964E8D">
        <w:rPr>
          <w:rFonts w:eastAsia="MS Mincho"/>
          <w:bCs/>
          <w:sz w:val="28"/>
          <w:szCs w:val="28"/>
          <w:lang w:eastAsia="ja-JP"/>
        </w:rPr>
        <w:t xml:space="preserve"> объемов</w:t>
      </w:r>
      <w:r w:rsidRPr="00964E8D">
        <w:rPr>
          <w:sz w:val="28"/>
          <w:szCs w:val="28"/>
        </w:rPr>
        <w:t xml:space="preserve"> услуг гостиниц (</w:t>
      </w:r>
      <w:r w:rsidR="00030C31">
        <w:rPr>
          <w:sz w:val="28"/>
          <w:szCs w:val="28"/>
        </w:rPr>
        <w:t>на 39,5 %), туристских (на 28,9 </w:t>
      </w:r>
      <w:r w:rsidRPr="00964E8D">
        <w:rPr>
          <w:sz w:val="28"/>
          <w:szCs w:val="28"/>
        </w:rPr>
        <w:t>%), санаторно-оздоровительных усл</w:t>
      </w:r>
      <w:r w:rsidR="00030C31">
        <w:rPr>
          <w:sz w:val="28"/>
          <w:szCs w:val="28"/>
        </w:rPr>
        <w:t>уг (на 19,1 %), услуг связи (на </w:t>
      </w:r>
      <w:r w:rsidRPr="00964E8D">
        <w:rPr>
          <w:sz w:val="28"/>
          <w:szCs w:val="28"/>
        </w:rPr>
        <w:t xml:space="preserve">9,0 %), системы образования (на 5,7 %), бытовых (на 3,9 %) и коммунальных (на 0,8 %), занимающих в общем объеме платных услуг 66,7 %. </w:t>
      </w:r>
    </w:p>
    <w:p w:rsidR="00727543" w:rsidRPr="004146F7" w:rsidRDefault="00727543" w:rsidP="007275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этом отклонение</w:t>
      </w:r>
      <w:r w:rsidR="00030C31">
        <w:rPr>
          <w:sz w:val="28"/>
          <w:szCs w:val="28"/>
        </w:rPr>
        <w:t xml:space="preserve"> прогнозируемого</w:t>
      </w:r>
      <w:r>
        <w:rPr>
          <w:sz w:val="28"/>
          <w:szCs w:val="28"/>
        </w:rPr>
        <w:t xml:space="preserve"> стоимостного о</w:t>
      </w:r>
      <w:r w:rsidRPr="00964E8D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964E8D">
        <w:rPr>
          <w:sz w:val="28"/>
          <w:szCs w:val="28"/>
        </w:rPr>
        <w:t xml:space="preserve"> платных услуг населению</w:t>
      </w:r>
      <w:r>
        <w:rPr>
          <w:sz w:val="28"/>
          <w:szCs w:val="28"/>
        </w:rPr>
        <w:t xml:space="preserve"> </w:t>
      </w:r>
      <w:r w:rsidRPr="00D15EF5">
        <w:rPr>
          <w:sz w:val="28"/>
          <w:szCs w:val="28"/>
        </w:rPr>
        <w:t xml:space="preserve">к </w:t>
      </w:r>
      <w:r w:rsidRPr="005D7A83">
        <w:rPr>
          <w:sz w:val="28"/>
          <w:szCs w:val="28"/>
        </w:rPr>
        <w:t>фактическому знач</w:t>
      </w:r>
      <w:r w:rsidR="00030C31">
        <w:rPr>
          <w:sz w:val="28"/>
          <w:szCs w:val="28"/>
        </w:rPr>
        <w:t xml:space="preserve">ению составило минус 6,5 % по </w:t>
      </w:r>
      <w:r w:rsidR="00030C31">
        <w:rPr>
          <w:sz w:val="28"/>
          <w:szCs w:val="28"/>
        </w:rPr>
        <w:lastRenderedPageBreak/>
        <w:t>1 </w:t>
      </w:r>
      <w:r w:rsidRPr="005D7A83">
        <w:rPr>
          <w:sz w:val="28"/>
          <w:szCs w:val="28"/>
        </w:rPr>
        <w:t>варианту прогноза и минус 6,2 % – по 2 варианту прогноза</w:t>
      </w:r>
      <w:r>
        <w:rPr>
          <w:rFonts w:eastAsia="MS Mincho"/>
          <w:bCs/>
          <w:sz w:val="28"/>
          <w:szCs w:val="28"/>
          <w:lang w:eastAsia="ja-JP"/>
        </w:rPr>
        <w:t xml:space="preserve">, что связано также с более высоким </w:t>
      </w:r>
      <w:r>
        <w:rPr>
          <w:sz w:val="28"/>
          <w:szCs w:val="28"/>
        </w:rPr>
        <w:t>сложившимся</w:t>
      </w:r>
      <w:r w:rsidRPr="00657808">
        <w:rPr>
          <w:sz w:val="28"/>
          <w:szCs w:val="28"/>
        </w:rPr>
        <w:t xml:space="preserve"> </w:t>
      </w:r>
      <w:r w:rsidR="00030C31">
        <w:rPr>
          <w:sz w:val="28"/>
          <w:szCs w:val="28"/>
        </w:rPr>
        <w:t>значение</w:t>
      </w:r>
      <w:r>
        <w:rPr>
          <w:sz w:val="28"/>
          <w:szCs w:val="28"/>
        </w:rPr>
        <w:t>м</w:t>
      </w: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Pr="00D15EF5">
        <w:rPr>
          <w:sz w:val="28"/>
          <w:szCs w:val="28"/>
        </w:rPr>
        <w:t>индекса</w:t>
      </w:r>
      <w:r>
        <w:rPr>
          <w:sz w:val="28"/>
          <w:szCs w:val="28"/>
        </w:rPr>
        <w:t>-</w:t>
      </w:r>
      <w:r w:rsidRPr="00D15EF5">
        <w:rPr>
          <w:sz w:val="28"/>
          <w:szCs w:val="28"/>
        </w:rPr>
        <w:t xml:space="preserve">дефлятора </w:t>
      </w:r>
      <w:r>
        <w:rPr>
          <w:color w:val="000000" w:themeColor="text1"/>
          <w:sz w:val="28"/>
          <w:szCs w:val="28"/>
        </w:rPr>
        <w:t>объема платных услуг.</w:t>
      </w:r>
      <w:r w:rsidRPr="00964E8D">
        <w:rPr>
          <w:color w:val="000000" w:themeColor="text1"/>
          <w:sz w:val="28"/>
          <w:szCs w:val="28"/>
        </w:rPr>
        <w:t xml:space="preserve"> </w:t>
      </w:r>
      <w:r w:rsidRPr="004146F7">
        <w:rPr>
          <w:color w:val="000000" w:themeColor="text1"/>
          <w:sz w:val="28"/>
          <w:szCs w:val="28"/>
        </w:rPr>
        <w:t>Увеличение индекса-дефлятора объема платных услуг объясняется, прежде всего, повышением в 2015</w:t>
      </w:r>
      <w:r>
        <w:rPr>
          <w:color w:val="000000" w:themeColor="text1"/>
          <w:sz w:val="28"/>
          <w:szCs w:val="28"/>
        </w:rPr>
        <w:t> </w:t>
      </w:r>
      <w:r w:rsidRPr="004146F7">
        <w:rPr>
          <w:color w:val="000000" w:themeColor="text1"/>
          <w:sz w:val="28"/>
          <w:szCs w:val="28"/>
        </w:rPr>
        <w:t xml:space="preserve">году цен на услуги правового характера на 66,2 %, жилищные – на 18,5 %, услуги гостиниц – на 13,6 %, бытовые и транспортные – на 12,6 %, туристские – на 12,0 %, услуги системы образования – на 11,6 %, медицинские услуги – на 11,2 %. </w:t>
      </w:r>
    </w:p>
    <w:p w:rsidR="00F52DBA" w:rsidRPr="00F37406" w:rsidRDefault="00F52DBA" w:rsidP="00366B51">
      <w:pPr>
        <w:ind w:firstLine="709"/>
        <w:jc w:val="both"/>
        <w:rPr>
          <w:sz w:val="28"/>
          <w:szCs w:val="28"/>
        </w:rPr>
      </w:pPr>
    </w:p>
    <w:p w:rsidR="00F37406" w:rsidRPr="006B54D5" w:rsidRDefault="00911931" w:rsidP="00F37406">
      <w:pPr>
        <w:ind w:firstLine="709"/>
        <w:jc w:val="both"/>
        <w:rPr>
          <w:sz w:val="28"/>
          <w:szCs w:val="28"/>
        </w:rPr>
      </w:pPr>
      <w:r w:rsidRPr="00F37406">
        <w:rPr>
          <w:b/>
          <w:sz w:val="28"/>
          <w:szCs w:val="28"/>
        </w:rPr>
        <w:t>9.</w:t>
      </w:r>
      <w:r w:rsidRPr="00F37406">
        <w:rPr>
          <w:sz w:val="28"/>
          <w:szCs w:val="28"/>
        </w:rPr>
        <w:t xml:space="preserve"> </w:t>
      </w:r>
      <w:r w:rsidR="00F37406" w:rsidRPr="006B54D5">
        <w:rPr>
          <w:sz w:val="28"/>
          <w:szCs w:val="28"/>
        </w:rPr>
        <w:t>По показателю «</w:t>
      </w:r>
      <w:r w:rsidR="00F37406" w:rsidRPr="00F37406">
        <w:rPr>
          <w:sz w:val="28"/>
          <w:szCs w:val="28"/>
        </w:rPr>
        <w:t>Индекс физического объема инвестиций в основной капитал</w:t>
      </w:r>
      <w:r w:rsidR="00F37406" w:rsidRPr="006B54D5">
        <w:rPr>
          <w:sz w:val="28"/>
          <w:szCs w:val="28"/>
        </w:rPr>
        <w:t xml:space="preserve">, в % к предыдущему году в сопоставимых ценах» за 2015 год отклонение прогнозного значения от фактического составило 20,2 </w:t>
      </w:r>
      <w:r w:rsidR="00F37406">
        <w:rPr>
          <w:sz w:val="28"/>
          <w:szCs w:val="28"/>
        </w:rPr>
        <w:t>процентного пункта</w:t>
      </w:r>
      <w:r w:rsidR="00F37406" w:rsidRPr="006B54D5">
        <w:rPr>
          <w:sz w:val="28"/>
          <w:szCs w:val="28"/>
        </w:rPr>
        <w:t xml:space="preserve"> по 1 варианту прогноза и 21,7 </w:t>
      </w:r>
      <w:r w:rsidR="00F37406">
        <w:rPr>
          <w:sz w:val="28"/>
          <w:szCs w:val="28"/>
        </w:rPr>
        <w:t>процентного пункта</w:t>
      </w:r>
      <w:r w:rsidR="00F37406" w:rsidRPr="006B54D5">
        <w:rPr>
          <w:sz w:val="28"/>
          <w:szCs w:val="28"/>
        </w:rPr>
        <w:t xml:space="preserve"> </w:t>
      </w:r>
      <w:r w:rsidR="00F37406">
        <w:rPr>
          <w:sz w:val="28"/>
          <w:szCs w:val="28"/>
        </w:rPr>
        <w:t xml:space="preserve">– </w:t>
      </w:r>
      <w:r w:rsidR="00F37406" w:rsidRPr="006B54D5">
        <w:rPr>
          <w:sz w:val="28"/>
          <w:szCs w:val="28"/>
        </w:rPr>
        <w:t xml:space="preserve">по 2 варианту прогноза. </w:t>
      </w:r>
    </w:p>
    <w:p w:rsidR="00F37406" w:rsidRPr="006B54D5" w:rsidRDefault="00F37406" w:rsidP="00F37406">
      <w:pPr>
        <w:ind w:firstLine="709"/>
        <w:jc w:val="both"/>
        <w:rPr>
          <w:rFonts w:eastAsia="Calibri"/>
          <w:sz w:val="28"/>
          <w:szCs w:val="28"/>
        </w:rPr>
      </w:pPr>
      <w:r w:rsidRPr="006B54D5">
        <w:rPr>
          <w:sz w:val="28"/>
          <w:szCs w:val="28"/>
        </w:rPr>
        <w:t xml:space="preserve">Данное отклонение связано с негативными тенденциями в экономике в условиях действия санкций в отношении России, снижением доступности кредитных ресурсов. Так, из-за сложной экономической ситуации в 2015 году была приостановлена реализация 10 инвестиционных проектов, из них 5-ти крупных значимых проектов: </w:t>
      </w:r>
    </w:p>
    <w:p w:rsidR="00F37406" w:rsidRPr="006B54D5" w:rsidRDefault="00F37406" w:rsidP="00F37406">
      <w:pPr>
        <w:ind w:firstLine="709"/>
        <w:contextualSpacing/>
        <w:jc w:val="both"/>
        <w:rPr>
          <w:sz w:val="28"/>
          <w:szCs w:val="28"/>
        </w:rPr>
      </w:pPr>
      <w:r w:rsidRPr="006B54D5">
        <w:rPr>
          <w:sz w:val="28"/>
          <w:szCs w:val="28"/>
        </w:rPr>
        <w:t>- ЗАО «Корпорация «ГРИНН» (строительство многофункционального развлекательн</w:t>
      </w:r>
      <w:r w:rsidR="00F2733F">
        <w:rPr>
          <w:sz w:val="28"/>
          <w:szCs w:val="28"/>
        </w:rPr>
        <w:t>ого</w:t>
      </w:r>
      <w:r w:rsidRPr="006B54D5">
        <w:rPr>
          <w:sz w:val="28"/>
          <w:szCs w:val="28"/>
        </w:rPr>
        <w:t xml:space="preserve"> комплекса) в г. Твери;</w:t>
      </w:r>
    </w:p>
    <w:p w:rsidR="00F37406" w:rsidRPr="006B54D5" w:rsidRDefault="00F37406" w:rsidP="00F3740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B54D5">
        <w:rPr>
          <w:sz w:val="28"/>
          <w:szCs w:val="28"/>
        </w:rPr>
        <w:t>- ООО «НПО Мобильные клиники»</w:t>
      </w:r>
      <w:r w:rsidRPr="006B54D5">
        <w:rPr>
          <w:rFonts w:eastAsia="Calibri"/>
          <w:sz w:val="28"/>
          <w:szCs w:val="28"/>
        </w:rPr>
        <w:t xml:space="preserve"> (строительство завода по производству мобильных медицинских комплексов) в Ржевском районе;</w:t>
      </w:r>
    </w:p>
    <w:p w:rsidR="00F37406" w:rsidRPr="006B54D5" w:rsidRDefault="00F37406" w:rsidP="00F37406">
      <w:pPr>
        <w:ind w:firstLine="709"/>
        <w:contextualSpacing/>
        <w:jc w:val="both"/>
        <w:rPr>
          <w:sz w:val="28"/>
          <w:szCs w:val="28"/>
        </w:rPr>
      </w:pPr>
      <w:r w:rsidRPr="006B54D5">
        <w:rPr>
          <w:sz w:val="28"/>
          <w:szCs w:val="28"/>
        </w:rPr>
        <w:t xml:space="preserve">- ОАО «Зареченское» (строительство животноводческого комплекса на 1200 голов с организацией молочного скотоводства, производства и переработки молока на основе высокопродуктивного стада </w:t>
      </w:r>
      <w:proofErr w:type="spellStart"/>
      <w:r w:rsidRPr="006B54D5">
        <w:rPr>
          <w:sz w:val="28"/>
          <w:szCs w:val="28"/>
        </w:rPr>
        <w:t>голштино</w:t>
      </w:r>
      <w:proofErr w:type="spellEnd"/>
      <w:r w:rsidRPr="006B54D5">
        <w:rPr>
          <w:sz w:val="28"/>
          <w:szCs w:val="28"/>
        </w:rPr>
        <w:t>-фризской породы) в Бежецком районе;</w:t>
      </w:r>
    </w:p>
    <w:p w:rsidR="00F37406" w:rsidRPr="006B54D5" w:rsidRDefault="00F37406" w:rsidP="00F37406">
      <w:pPr>
        <w:ind w:firstLine="709"/>
        <w:contextualSpacing/>
        <w:jc w:val="both"/>
        <w:rPr>
          <w:sz w:val="28"/>
          <w:szCs w:val="28"/>
        </w:rPr>
      </w:pPr>
      <w:r w:rsidRPr="006B54D5">
        <w:rPr>
          <w:sz w:val="28"/>
          <w:szCs w:val="28"/>
        </w:rPr>
        <w:t>- ООО «Калязин Агро» (строительство теплиц по инновационным технологиям на площади 11 га) в Калязинском районе;</w:t>
      </w:r>
    </w:p>
    <w:p w:rsidR="00F37406" w:rsidRPr="006B54D5" w:rsidRDefault="00F37406" w:rsidP="00F37406">
      <w:pPr>
        <w:ind w:firstLine="709"/>
        <w:contextualSpacing/>
        <w:jc w:val="both"/>
        <w:rPr>
          <w:sz w:val="28"/>
          <w:szCs w:val="28"/>
        </w:rPr>
      </w:pPr>
      <w:r w:rsidRPr="006B54D5">
        <w:rPr>
          <w:sz w:val="28"/>
          <w:szCs w:val="28"/>
        </w:rPr>
        <w:t>- ООО «</w:t>
      </w:r>
      <w:proofErr w:type="spellStart"/>
      <w:r w:rsidRPr="006B54D5">
        <w:rPr>
          <w:sz w:val="28"/>
          <w:szCs w:val="28"/>
        </w:rPr>
        <w:t>Вазузский</w:t>
      </w:r>
      <w:proofErr w:type="spellEnd"/>
      <w:r w:rsidRPr="006B54D5">
        <w:rPr>
          <w:sz w:val="28"/>
          <w:szCs w:val="28"/>
        </w:rPr>
        <w:t xml:space="preserve"> мясомолочный комплекс» (организация многофункционального предприятия агропромышленного назначения) в Зубцовском районе.</w:t>
      </w:r>
    </w:p>
    <w:p w:rsidR="00F37406" w:rsidRDefault="00F37406" w:rsidP="004A0A0B">
      <w:pPr>
        <w:ind w:firstLine="709"/>
        <w:jc w:val="both"/>
        <w:rPr>
          <w:b/>
          <w:color w:val="002060"/>
          <w:sz w:val="28"/>
          <w:szCs w:val="28"/>
        </w:rPr>
      </w:pPr>
    </w:p>
    <w:p w:rsidR="00F07055" w:rsidRPr="00F07055" w:rsidRDefault="00F07055" w:rsidP="00F07055">
      <w:pPr>
        <w:ind w:firstLine="709"/>
        <w:jc w:val="both"/>
        <w:rPr>
          <w:sz w:val="28"/>
          <w:szCs w:val="28"/>
        </w:rPr>
      </w:pPr>
      <w:r w:rsidRPr="00F07055">
        <w:rPr>
          <w:b/>
          <w:sz w:val="28"/>
          <w:szCs w:val="28"/>
        </w:rPr>
        <w:t>10.</w:t>
      </w:r>
      <w:r w:rsidR="007D6AD7">
        <w:rPr>
          <w:sz w:val="28"/>
          <w:szCs w:val="28"/>
        </w:rPr>
        <w:t xml:space="preserve"> </w:t>
      </w:r>
      <w:r w:rsidRPr="00F07055">
        <w:rPr>
          <w:sz w:val="28"/>
          <w:szCs w:val="28"/>
        </w:rPr>
        <w:t>По налогооблагаемой прибыли организаций Тверской области в графе «2015 год прогноз» указаны данные, направленные Министерством экономического развития Тверской области в Министерство финансов Тверской области для формирования прогноза доходов консолидированного и областного бюджетов на среднесрочную перс</w:t>
      </w:r>
      <w:r w:rsidR="00AE471E">
        <w:rPr>
          <w:sz w:val="28"/>
          <w:szCs w:val="28"/>
        </w:rPr>
        <w:t>пективу (письмо от 02.07.2014 № </w:t>
      </w:r>
      <w:r w:rsidRPr="00F07055">
        <w:rPr>
          <w:sz w:val="28"/>
          <w:szCs w:val="28"/>
        </w:rPr>
        <w:t>2777/07).</w:t>
      </w:r>
    </w:p>
    <w:p w:rsidR="00F07055" w:rsidRPr="006B54D5" w:rsidRDefault="00F07055" w:rsidP="00F07055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 xml:space="preserve">В графе «2015 год отчет» указаны данные по налогооблагаемой прибыли организаций, рассчитанной на основе данных формы налоговой отчетности </w:t>
      </w:r>
      <w:r w:rsidR="007D6AD7">
        <w:rPr>
          <w:sz w:val="28"/>
          <w:szCs w:val="28"/>
        </w:rPr>
        <w:br/>
      </w:r>
      <w:r w:rsidRPr="006B54D5">
        <w:rPr>
          <w:sz w:val="28"/>
          <w:szCs w:val="28"/>
        </w:rPr>
        <w:t>1-НМ «О начислении и поступлении налогов, сборов и иных обязательных платежей в бюджетную систему Российской Федерации» по состоянию на 01.01.2016.</w:t>
      </w:r>
    </w:p>
    <w:p w:rsidR="00F07055" w:rsidRPr="006B54D5" w:rsidRDefault="00F07055" w:rsidP="00F07055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t xml:space="preserve"> Отклонение прогнозного значения показателя «Налогооблагаемая прибыль» от его фактического значения на 23,9 % связано с ростом перечислений в 2015 году налога на прибыль ответственными участниками консолидированной группы налогоплательщиков.</w:t>
      </w:r>
    </w:p>
    <w:p w:rsidR="00F07055" w:rsidRPr="006B54D5" w:rsidRDefault="00F07055" w:rsidP="00F07055">
      <w:pPr>
        <w:ind w:firstLine="709"/>
        <w:jc w:val="both"/>
        <w:rPr>
          <w:sz w:val="28"/>
          <w:szCs w:val="28"/>
        </w:rPr>
      </w:pPr>
      <w:r w:rsidRPr="006B54D5">
        <w:rPr>
          <w:sz w:val="28"/>
          <w:szCs w:val="28"/>
        </w:rPr>
        <w:lastRenderedPageBreak/>
        <w:t>В 2015 году сумма налога на прибыль от консолидированной группы налогоплательщиков по Твер</w:t>
      </w:r>
      <w:r w:rsidR="007D6AD7">
        <w:rPr>
          <w:sz w:val="28"/>
          <w:szCs w:val="28"/>
        </w:rPr>
        <w:t xml:space="preserve">ской области составила 6 028,1 </w:t>
      </w:r>
      <w:r w:rsidRPr="006B54D5">
        <w:rPr>
          <w:sz w:val="28"/>
          <w:szCs w:val="28"/>
        </w:rPr>
        <w:t xml:space="preserve">млн </w:t>
      </w:r>
      <w:r w:rsidR="007D6AD7">
        <w:rPr>
          <w:sz w:val="28"/>
          <w:szCs w:val="28"/>
        </w:rPr>
        <w:t>рублей, или 55 </w:t>
      </w:r>
      <w:r w:rsidRPr="006B54D5">
        <w:rPr>
          <w:sz w:val="28"/>
          <w:szCs w:val="28"/>
        </w:rPr>
        <w:t>% от общего объема поступлений по налогу на прибыль организаций в консолидированный бюджет Тверской области.</w:t>
      </w:r>
      <w:r w:rsidR="002F5040">
        <w:rPr>
          <w:sz w:val="28"/>
          <w:szCs w:val="28"/>
        </w:rPr>
        <w:t xml:space="preserve"> В основном р</w:t>
      </w:r>
      <w:r w:rsidRPr="006B54D5">
        <w:rPr>
          <w:sz w:val="28"/>
          <w:szCs w:val="28"/>
        </w:rPr>
        <w:t>ост обеспечен за счет поступлений от консолидированной группы налогоплательщиков Удомельского городск</w:t>
      </w:r>
      <w:r w:rsidR="007D6AD7">
        <w:rPr>
          <w:sz w:val="28"/>
          <w:szCs w:val="28"/>
        </w:rPr>
        <w:t xml:space="preserve">ого округа в сумме 5 216,7 млн </w:t>
      </w:r>
      <w:r w:rsidRPr="006B54D5">
        <w:rPr>
          <w:sz w:val="28"/>
          <w:szCs w:val="28"/>
        </w:rPr>
        <w:t>рублей, или 86,5 % от всех поступлений консолидированной группы налогоплательщиков.</w:t>
      </w:r>
    </w:p>
    <w:p w:rsidR="00BA3027" w:rsidRPr="00EB0B3C" w:rsidRDefault="00BA3027" w:rsidP="00BA3027">
      <w:pPr>
        <w:ind w:firstLine="709"/>
        <w:jc w:val="both"/>
        <w:rPr>
          <w:b/>
          <w:color w:val="002060"/>
          <w:sz w:val="28"/>
          <w:szCs w:val="28"/>
        </w:rPr>
      </w:pPr>
    </w:p>
    <w:p w:rsidR="00EF5B53" w:rsidRPr="00890814" w:rsidRDefault="00366B51" w:rsidP="00EF5B53">
      <w:pPr>
        <w:ind w:firstLine="709"/>
        <w:jc w:val="both"/>
        <w:rPr>
          <w:sz w:val="28"/>
          <w:szCs w:val="28"/>
        </w:rPr>
      </w:pPr>
      <w:r w:rsidRPr="00EF5B53">
        <w:rPr>
          <w:b/>
          <w:sz w:val="28"/>
          <w:szCs w:val="28"/>
        </w:rPr>
        <w:t>1</w:t>
      </w:r>
      <w:r w:rsidR="00EF5B53" w:rsidRPr="00EF5B53">
        <w:rPr>
          <w:b/>
          <w:sz w:val="28"/>
          <w:szCs w:val="28"/>
        </w:rPr>
        <w:t>1</w:t>
      </w:r>
      <w:r w:rsidRPr="00EF5B53">
        <w:rPr>
          <w:b/>
          <w:sz w:val="28"/>
          <w:szCs w:val="28"/>
        </w:rPr>
        <w:t>.</w:t>
      </w:r>
      <w:r w:rsidRPr="00EF5B53">
        <w:rPr>
          <w:sz w:val="28"/>
          <w:szCs w:val="28"/>
        </w:rPr>
        <w:t xml:space="preserve"> </w:t>
      </w:r>
      <w:r w:rsidR="00EF5B53" w:rsidRPr="00EF5B53">
        <w:rPr>
          <w:sz w:val="28"/>
          <w:szCs w:val="28"/>
        </w:rPr>
        <w:t xml:space="preserve">Реальные денежные доходы населения Тверской области, по </w:t>
      </w:r>
      <w:r w:rsidR="00EF5B53">
        <w:rPr>
          <w:sz w:val="28"/>
          <w:szCs w:val="28"/>
        </w:rPr>
        <w:t xml:space="preserve">предварительным </w:t>
      </w:r>
      <w:r w:rsidR="00EF5B53" w:rsidRPr="00890814">
        <w:rPr>
          <w:sz w:val="28"/>
          <w:szCs w:val="28"/>
        </w:rPr>
        <w:t xml:space="preserve">данным </w:t>
      </w:r>
      <w:r w:rsidR="00EF5B53">
        <w:rPr>
          <w:sz w:val="28"/>
          <w:szCs w:val="28"/>
        </w:rPr>
        <w:t xml:space="preserve">Тверьстата, </w:t>
      </w:r>
      <w:r w:rsidR="00EF5B53" w:rsidRPr="00890814">
        <w:rPr>
          <w:sz w:val="28"/>
          <w:szCs w:val="28"/>
        </w:rPr>
        <w:t>в 201</w:t>
      </w:r>
      <w:r w:rsidR="00EF5B53">
        <w:rPr>
          <w:sz w:val="28"/>
          <w:szCs w:val="28"/>
        </w:rPr>
        <w:t>5</w:t>
      </w:r>
      <w:r w:rsidR="00EF5B53" w:rsidRPr="00890814">
        <w:rPr>
          <w:sz w:val="28"/>
          <w:szCs w:val="28"/>
        </w:rPr>
        <w:t xml:space="preserve"> году составили </w:t>
      </w:r>
      <w:r w:rsidR="00EF5B53">
        <w:rPr>
          <w:sz w:val="28"/>
          <w:szCs w:val="28"/>
        </w:rPr>
        <w:t>97,2</w:t>
      </w:r>
      <w:r w:rsidR="00EF5B53" w:rsidRPr="00890814">
        <w:rPr>
          <w:sz w:val="28"/>
          <w:szCs w:val="28"/>
        </w:rPr>
        <w:t xml:space="preserve"> % к 201</w:t>
      </w:r>
      <w:r w:rsidR="00EF5B53">
        <w:rPr>
          <w:sz w:val="28"/>
          <w:szCs w:val="28"/>
        </w:rPr>
        <w:t>4</w:t>
      </w:r>
      <w:r w:rsidR="00EF5B53" w:rsidRPr="00890814">
        <w:rPr>
          <w:sz w:val="28"/>
          <w:szCs w:val="28"/>
        </w:rPr>
        <w:t> году.</w:t>
      </w:r>
      <w:r w:rsidR="00EF5B53">
        <w:rPr>
          <w:sz w:val="28"/>
          <w:szCs w:val="28"/>
        </w:rPr>
        <w:t xml:space="preserve"> </w:t>
      </w:r>
    </w:p>
    <w:p w:rsidR="00EF5B53" w:rsidRPr="00EF5B53" w:rsidRDefault="00EF5B53" w:rsidP="00EF5B53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890814">
        <w:rPr>
          <w:sz w:val="28"/>
          <w:szCs w:val="28"/>
        </w:rPr>
        <w:t>Отклонение прогнозных значений показател</w:t>
      </w:r>
      <w:r>
        <w:rPr>
          <w:sz w:val="28"/>
          <w:szCs w:val="28"/>
        </w:rPr>
        <w:t>я</w:t>
      </w:r>
      <w:r w:rsidRPr="00890814">
        <w:rPr>
          <w:sz w:val="28"/>
          <w:szCs w:val="28"/>
        </w:rPr>
        <w:t xml:space="preserve"> от </w:t>
      </w:r>
      <w:r>
        <w:rPr>
          <w:sz w:val="28"/>
          <w:szCs w:val="28"/>
        </w:rPr>
        <w:t>фактического</w:t>
      </w:r>
      <w:r w:rsidRPr="00890814">
        <w:rPr>
          <w:sz w:val="28"/>
          <w:szCs w:val="28"/>
        </w:rPr>
        <w:t xml:space="preserve"> </w:t>
      </w:r>
      <w:r w:rsidR="00EE238F">
        <w:rPr>
          <w:sz w:val="28"/>
          <w:szCs w:val="28"/>
        </w:rPr>
        <w:t xml:space="preserve">значения </w:t>
      </w:r>
      <w:r w:rsidRPr="00890814">
        <w:rPr>
          <w:sz w:val="28"/>
          <w:szCs w:val="28"/>
        </w:rPr>
        <w:t xml:space="preserve">по </w:t>
      </w:r>
      <w:r>
        <w:rPr>
          <w:sz w:val="28"/>
          <w:szCs w:val="28"/>
        </w:rPr>
        <w:t>1 </w:t>
      </w:r>
      <w:r w:rsidRPr="00890814">
        <w:rPr>
          <w:sz w:val="28"/>
          <w:szCs w:val="28"/>
        </w:rPr>
        <w:t>варианту прогноза</w:t>
      </w:r>
      <w:r>
        <w:rPr>
          <w:sz w:val="28"/>
          <w:szCs w:val="28"/>
        </w:rPr>
        <w:t xml:space="preserve"> </w:t>
      </w:r>
      <w:r w:rsidRPr="008908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5,0</w:t>
      </w:r>
      <w:r w:rsidRPr="00890814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ого</w:t>
      </w:r>
      <w:r w:rsidRPr="00890814">
        <w:rPr>
          <w:sz w:val="28"/>
          <w:szCs w:val="28"/>
        </w:rPr>
        <w:t xml:space="preserve"> пункта, по </w:t>
      </w:r>
      <w:r>
        <w:rPr>
          <w:sz w:val="28"/>
          <w:szCs w:val="28"/>
        </w:rPr>
        <w:t>2 </w:t>
      </w:r>
      <w:r w:rsidRPr="00890814">
        <w:rPr>
          <w:sz w:val="28"/>
          <w:szCs w:val="28"/>
        </w:rPr>
        <w:t xml:space="preserve">варианту – </w:t>
      </w:r>
      <w:r>
        <w:rPr>
          <w:sz w:val="28"/>
          <w:szCs w:val="28"/>
        </w:rPr>
        <w:t>5,3 </w:t>
      </w:r>
      <w:r w:rsidRPr="00890814">
        <w:rPr>
          <w:sz w:val="28"/>
          <w:szCs w:val="28"/>
        </w:rPr>
        <w:t xml:space="preserve">процентного пункта, </w:t>
      </w:r>
      <w:r>
        <w:rPr>
          <w:color w:val="000000"/>
          <w:sz w:val="28"/>
          <w:szCs w:val="28"/>
        </w:rPr>
        <w:t>что</w:t>
      </w:r>
      <w:r w:rsidRPr="00CE6866">
        <w:rPr>
          <w:color w:val="000000"/>
          <w:sz w:val="28"/>
          <w:szCs w:val="28"/>
        </w:rPr>
        <w:t xml:space="preserve"> обусловлен</w:t>
      </w:r>
      <w:r w:rsidR="00EE238F"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ускорением темпов </w:t>
      </w:r>
      <w:r>
        <w:rPr>
          <w:color w:val="000000"/>
          <w:sz w:val="28"/>
          <w:szCs w:val="28"/>
        </w:rPr>
        <w:t>роста потребительских цен</w:t>
      </w:r>
      <w:r w:rsidRPr="00EF5B53">
        <w:rPr>
          <w:sz w:val="28"/>
          <w:szCs w:val="28"/>
        </w:rPr>
        <w:t>, сложившихся в 2015 году, по сравнению с прогнозируемыми параметрами.</w:t>
      </w:r>
    </w:p>
    <w:p w:rsidR="00EF5B53" w:rsidRDefault="00EF5B53" w:rsidP="00366B51">
      <w:pPr>
        <w:tabs>
          <w:tab w:val="left" w:pos="3828"/>
        </w:tabs>
        <w:ind w:firstLine="709"/>
        <w:jc w:val="both"/>
        <w:rPr>
          <w:color w:val="002060"/>
          <w:sz w:val="28"/>
          <w:szCs w:val="28"/>
        </w:rPr>
      </w:pPr>
    </w:p>
    <w:p w:rsidR="00126A23" w:rsidRPr="00D2226E" w:rsidRDefault="00126A23" w:rsidP="00126A23">
      <w:pPr>
        <w:ind w:firstLine="709"/>
        <w:jc w:val="both"/>
        <w:rPr>
          <w:sz w:val="28"/>
          <w:szCs w:val="28"/>
        </w:rPr>
      </w:pPr>
      <w:r w:rsidRPr="00D424BF">
        <w:rPr>
          <w:b/>
          <w:sz w:val="28"/>
          <w:szCs w:val="28"/>
        </w:rPr>
        <w:t>12.</w:t>
      </w:r>
      <w:r w:rsidRPr="00D424BF">
        <w:rPr>
          <w:sz w:val="28"/>
          <w:szCs w:val="28"/>
        </w:rPr>
        <w:t xml:space="preserve"> Фонд заработной платы работников Тверской области за 2015 год, по </w:t>
      </w:r>
      <w:r w:rsidRPr="00D2226E">
        <w:rPr>
          <w:sz w:val="28"/>
          <w:szCs w:val="28"/>
        </w:rPr>
        <w:t xml:space="preserve">оперативным данным Тверьстата, составил 112 956,3 млн рублей. </w:t>
      </w:r>
    </w:p>
    <w:p w:rsidR="00126A23" w:rsidRPr="00D2226E" w:rsidRDefault="00126A23" w:rsidP="00126A23">
      <w:pPr>
        <w:ind w:firstLine="709"/>
        <w:jc w:val="both"/>
        <w:rPr>
          <w:sz w:val="28"/>
          <w:szCs w:val="28"/>
        </w:rPr>
      </w:pPr>
      <w:r w:rsidRPr="00D2226E">
        <w:rPr>
          <w:sz w:val="28"/>
          <w:szCs w:val="28"/>
        </w:rPr>
        <w:t xml:space="preserve">Показатель «Фонд заработной платы работников» формировался на основе оперативных </w:t>
      </w:r>
      <w:r>
        <w:rPr>
          <w:sz w:val="28"/>
          <w:szCs w:val="28"/>
        </w:rPr>
        <w:t xml:space="preserve">статистических данных о фонде начисленной заработной платы работников, среднемесячной номинальной начисленной заработной плате и среднесписочной численности работников, а также соответствующей </w:t>
      </w:r>
      <w:r w:rsidRPr="00D2226E">
        <w:rPr>
          <w:sz w:val="28"/>
          <w:szCs w:val="28"/>
        </w:rPr>
        <w:t>информации, представленной администрациями муниципальных образований Тверской области</w:t>
      </w:r>
      <w:r>
        <w:rPr>
          <w:sz w:val="28"/>
          <w:szCs w:val="28"/>
        </w:rPr>
        <w:t xml:space="preserve"> на прогнозный период</w:t>
      </w:r>
      <w:r w:rsidRPr="00D2226E">
        <w:rPr>
          <w:sz w:val="28"/>
          <w:szCs w:val="28"/>
        </w:rPr>
        <w:t>.</w:t>
      </w:r>
    </w:p>
    <w:p w:rsidR="00126A23" w:rsidRDefault="00126A23" w:rsidP="00126A23">
      <w:pPr>
        <w:ind w:firstLine="709"/>
        <w:jc w:val="both"/>
        <w:rPr>
          <w:sz w:val="28"/>
          <w:szCs w:val="28"/>
        </w:rPr>
      </w:pPr>
      <w:r w:rsidRPr="00D2226E">
        <w:rPr>
          <w:sz w:val="28"/>
          <w:szCs w:val="28"/>
        </w:rPr>
        <w:t xml:space="preserve">Отклонение прогнозных значений от оперативных статистических данных за 2015 год по 1 варианту прогноза составило 9,0 % и по </w:t>
      </w:r>
      <w:r>
        <w:rPr>
          <w:sz w:val="28"/>
          <w:szCs w:val="28"/>
        </w:rPr>
        <w:t>2 </w:t>
      </w:r>
      <w:r w:rsidRPr="00D2226E">
        <w:rPr>
          <w:sz w:val="28"/>
          <w:szCs w:val="28"/>
        </w:rPr>
        <w:t xml:space="preserve">варианту –12,8 %. Данный факт обусловлен снижением интенсивности темпов роста средней заработной платы по сравнению с прогнозными значениями, что связано с замедлением роста заработной платы </w:t>
      </w:r>
      <w:r>
        <w:rPr>
          <w:sz w:val="28"/>
          <w:szCs w:val="28"/>
        </w:rPr>
        <w:t xml:space="preserve">на предприятиях и организациях в условиях сложной экономической ситуации, а также корректировкой показателей «дорожных карт» в части повышения заработной платы </w:t>
      </w:r>
      <w:r w:rsidRPr="00D2226E">
        <w:rPr>
          <w:sz w:val="28"/>
          <w:szCs w:val="28"/>
        </w:rPr>
        <w:t>медицинским, педагогическим и социальным работникам, работникам культуры в рамках Указа Президента Росси</w:t>
      </w:r>
      <w:r>
        <w:rPr>
          <w:sz w:val="28"/>
          <w:szCs w:val="28"/>
        </w:rPr>
        <w:t>йской Федерации от 07.05.2012 № </w:t>
      </w:r>
      <w:r w:rsidRPr="00D2226E">
        <w:rPr>
          <w:sz w:val="28"/>
          <w:szCs w:val="28"/>
        </w:rPr>
        <w:t>597</w:t>
      </w:r>
      <w:r>
        <w:rPr>
          <w:sz w:val="28"/>
          <w:szCs w:val="28"/>
        </w:rPr>
        <w:t xml:space="preserve"> </w:t>
      </w:r>
      <w:r w:rsidRPr="00D2226E">
        <w:rPr>
          <w:sz w:val="28"/>
          <w:szCs w:val="28"/>
        </w:rPr>
        <w:t xml:space="preserve">«О мероприятиях по реализации государственной социальной политики». </w:t>
      </w:r>
    </w:p>
    <w:p w:rsidR="00126A23" w:rsidRPr="00D2226E" w:rsidRDefault="00126A23" w:rsidP="00126A23">
      <w:pPr>
        <w:ind w:firstLine="709"/>
        <w:jc w:val="both"/>
        <w:rPr>
          <w:sz w:val="28"/>
          <w:szCs w:val="28"/>
        </w:rPr>
      </w:pPr>
      <w:r w:rsidRPr="00D2226E">
        <w:rPr>
          <w:sz w:val="28"/>
          <w:szCs w:val="28"/>
        </w:rPr>
        <w:t xml:space="preserve">Кроме того, по сравнению с прогнозной оценкой, произошло уменьшение среднесписочной численности работников предприятий и организаций </w:t>
      </w:r>
      <w:r w:rsidRPr="00704E1D">
        <w:rPr>
          <w:sz w:val="28"/>
          <w:szCs w:val="28"/>
        </w:rPr>
        <w:t>(</w:t>
      </w:r>
      <w:r>
        <w:rPr>
          <w:sz w:val="28"/>
          <w:szCs w:val="28"/>
        </w:rPr>
        <w:t xml:space="preserve">около </w:t>
      </w:r>
      <w:r w:rsidR="00437AC4">
        <w:rPr>
          <w:sz w:val="28"/>
          <w:szCs w:val="28"/>
        </w:rPr>
        <w:t> </w:t>
      </w:r>
      <w:r w:rsidRPr="00704E1D">
        <w:rPr>
          <w:sz w:val="28"/>
          <w:szCs w:val="28"/>
        </w:rPr>
        <w:t>4 %), что</w:t>
      </w:r>
      <w:r w:rsidRPr="00D2226E">
        <w:rPr>
          <w:sz w:val="28"/>
          <w:szCs w:val="28"/>
        </w:rPr>
        <w:t xml:space="preserve"> непосредственно влияет на размер фонда заработной платы. </w:t>
      </w:r>
    </w:p>
    <w:p w:rsidR="00126A23" w:rsidRDefault="00126A23" w:rsidP="00126A23">
      <w:pPr>
        <w:ind w:firstLine="720"/>
        <w:jc w:val="both"/>
        <w:rPr>
          <w:color w:val="002060"/>
          <w:sz w:val="28"/>
          <w:szCs w:val="28"/>
        </w:rPr>
      </w:pPr>
    </w:p>
    <w:p w:rsidR="00126A23" w:rsidRPr="00D2226E" w:rsidRDefault="00126A23" w:rsidP="00126A23">
      <w:pPr>
        <w:ind w:firstLine="709"/>
        <w:jc w:val="both"/>
        <w:rPr>
          <w:sz w:val="28"/>
          <w:szCs w:val="28"/>
        </w:rPr>
      </w:pPr>
      <w:r w:rsidRPr="00A51C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51CAD">
        <w:rPr>
          <w:b/>
          <w:sz w:val="28"/>
          <w:szCs w:val="28"/>
        </w:rPr>
        <w:t>.</w:t>
      </w:r>
      <w:r w:rsidRPr="00A51CAD">
        <w:rPr>
          <w:sz w:val="28"/>
          <w:szCs w:val="28"/>
        </w:rPr>
        <w:t xml:space="preserve"> Численность </w:t>
      </w:r>
      <w:r w:rsidRPr="00DB6509">
        <w:rPr>
          <w:color w:val="000000"/>
          <w:sz w:val="28"/>
          <w:szCs w:val="28"/>
        </w:rPr>
        <w:t>безработных, зарегистрированных в службах занятости населения Тверской области</w:t>
      </w:r>
      <w:r>
        <w:rPr>
          <w:color w:val="000000"/>
          <w:sz w:val="28"/>
          <w:szCs w:val="28"/>
        </w:rPr>
        <w:t xml:space="preserve">, </w:t>
      </w:r>
      <w:r w:rsidRPr="00D2226E">
        <w:rPr>
          <w:sz w:val="28"/>
          <w:szCs w:val="28"/>
        </w:rPr>
        <w:t>на конец 2015 год</w:t>
      </w:r>
      <w:r>
        <w:rPr>
          <w:sz w:val="28"/>
          <w:szCs w:val="28"/>
        </w:rPr>
        <w:t>а</w:t>
      </w:r>
      <w:r w:rsidRPr="00D2226E">
        <w:rPr>
          <w:sz w:val="28"/>
          <w:szCs w:val="28"/>
        </w:rPr>
        <w:t xml:space="preserve"> составила 8,4 тыс. человек.</w:t>
      </w:r>
    </w:p>
    <w:p w:rsidR="00126A23" w:rsidRPr="00126A23" w:rsidRDefault="00126A23" w:rsidP="00126A23">
      <w:pPr>
        <w:ind w:firstLine="709"/>
        <w:jc w:val="both"/>
        <w:rPr>
          <w:sz w:val="28"/>
          <w:szCs w:val="28"/>
        </w:rPr>
      </w:pPr>
      <w:r w:rsidRPr="00D2226E">
        <w:rPr>
          <w:sz w:val="28"/>
          <w:szCs w:val="28"/>
        </w:rPr>
        <w:t xml:space="preserve">Отклонение прогнозных значений от факта по данному показателю по </w:t>
      </w:r>
      <w:r>
        <w:rPr>
          <w:sz w:val="28"/>
          <w:szCs w:val="28"/>
        </w:rPr>
        <w:t>1 </w:t>
      </w:r>
      <w:r w:rsidRPr="00126A23">
        <w:rPr>
          <w:sz w:val="28"/>
          <w:szCs w:val="28"/>
        </w:rPr>
        <w:t>варианту составило минус 15,5 % (1,3 тыс. человек), по 2 варианту – минус 17,9 % (1,5 тыс. человек).</w:t>
      </w:r>
    </w:p>
    <w:p w:rsidR="00126A23" w:rsidRPr="00126A23" w:rsidRDefault="00126A23" w:rsidP="00126A2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26A23">
        <w:rPr>
          <w:color w:val="000000"/>
          <w:sz w:val="28"/>
          <w:szCs w:val="28"/>
        </w:rPr>
        <w:t xml:space="preserve">Значительный рост численности безработных по отношению к прогнозируемым величинам обусловлен </w:t>
      </w:r>
      <w:r w:rsidRPr="00126A23">
        <w:rPr>
          <w:sz w:val="28"/>
          <w:szCs w:val="28"/>
        </w:rPr>
        <w:t xml:space="preserve">осложнением экономической ситуации </w:t>
      </w:r>
      <w:r w:rsidRPr="00126A23">
        <w:rPr>
          <w:sz w:val="28"/>
          <w:szCs w:val="28"/>
        </w:rPr>
        <w:lastRenderedPageBreak/>
        <w:t xml:space="preserve">на ряде крупных промышленных предприятий региона (в том числе на крупнейшем социально-значимом предприятии Тверской области ОАО «Тверской вагоностроительный завод»), </w:t>
      </w:r>
      <w:r w:rsidR="00B915E5" w:rsidRPr="00126A23">
        <w:rPr>
          <w:sz w:val="28"/>
          <w:szCs w:val="28"/>
        </w:rPr>
        <w:t>что, в свою очередь, привело</w:t>
      </w:r>
      <w:r w:rsidR="00B915E5" w:rsidRPr="00126A23">
        <w:rPr>
          <w:sz w:val="28"/>
          <w:szCs w:val="28"/>
        </w:rPr>
        <w:t xml:space="preserve"> </w:t>
      </w:r>
      <w:r w:rsidR="00B915E5">
        <w:rPr>
          <w:sz w:val="28"/>
          <w:szCs w:val="28"/>
        </w:rPr>
        <w:t>к приостановке их деятельности, введению</w:t>
      </w:r>
      <w:r w:rsidRPr="00126A23">
        <w:rPr>
          <w:sz w:val="28"/>
          <w:szCs w:val="28"/>
        </w:rPr>
        <w:t xml:space="preserve"> режимов неполной занятости и простоя, сниж</w:t>
      </w:r>
      <w:r w:rsidR="00B915E5">
        <w:rPr>
          <w:sz w:val="28"/>
          <w:szCs w:val="28"/>
        </w:rPr>
        <w:t>ению уровн</w:t>
      </w:r>
      <w:bookmarkStart w:id="0" w:name="_GoBack"/>
      <w:bookmarkEnd w:id="0"/>
      <w:r w:rsidR="00B915E5">
        <w:rPr>
          <w:sz w:val="28"/>
          <w:szCs w:val="28"/>
        </w:rPr>
        <w:t xml:space="preserve">я заработной платы и, как следствие, </w:t>
      </w:r>
      <w:r w:rsidRPr="00126A23">
        <w:rPr>
          <w:sz w:val="28"/>
          <w:szCs w:val="28"/>
        </w:rPr>
        <w:t xml:space="preserve">к </w:t>
      </w:r>
      <w:r w:rsidRPr="00126A23">
        <w:rPr>
          <w:color w:val="000000"/>
          <w:sz w:val="28"/>
          <w:szCs w:val="28"/>
        </w:rPr>
        <w:t>увеличению количества уволенных, в том</w:t>
      </w:r>
      <w:proofErr w:type="gramEnd"/>
      <w:r w:rsidRPr="00126A23">
        <w:rPr>
          <w:color w:val="000000"/>
          <w:sz w:val="28"/>
          <w:szCs w:val="28"/>
        </w:rPr>
        <w:t xml:space="preserve"> </w:t>
      </w:r>
      <w:proofErr w:type="gramStart"/>
      <w:r w:rsidRPr="00126A23">
        <w:rPr>
          <w:color w:val="000000"/>
          <w:sz w:val="28"/>
          <w:szCs w:val="28"/>
        </w:rPr>
        <w:t>чис</w:t>
      </w:r>
      <w:r w:rsidR="00B915E5">
        <w:rPr>
          <w:color w:val="000000"/>
          <w:sz w:val="28"/>
          <w:szCs w:val="28"/>
        </w:rPr>
        <w:t>ле</w:t>
      </w:r>
      <w:proofErr w:type="gramEnd"/>
      <w:r w:rsidR="00B915E5">
        <w:rPr>
          <w:color w:val="000000"/>
          <w:sz w:val="28"/>
          <w:szCs w:val="28"/>
        </w:rPr>
        <w:t xml:space="preserve"> в связи с сокращением штатов</w:t>
      </w:r>
      <w:r w:rsidRPr="00126A23">
        <w:rPr>
          <w:color w:val="000000"/>
          <w:sz w:val="28"/>
          <w:szCs w:val="28"/>
        </w:rPr>
        <w:t xml:space="preserve">. </w:t>
      </w:r>
      <w:r w:rsidRPr="00126A23">
        <w:rPr>
          <w:sz w:val="28"/>
          <w:szCs w:val="28"/>
        </w:rPr>
        <w:t>По тем же причинам на региональном рынке труда также произошло снижение количества вакансий, заявленных работодателями в органы службы занятости.</w:t>
      </w:r>
    </w:p>
    <w:p w:rsidR="00126A23" w:rsidRPr="00126A23" w:rsidRDefault="00126A23" w:rsidP="00126A23">
      <w:pPr>
        <w:ind w:firstLine="709"/>
        <w:jc w:val="both"/>
        <w:rPr>
          <w:color w:val="002060"/>
          <w:sz w:val="28"/>
          <w:szCs w:val="28"/>
        </w:rPr>
      </w:pPr>
    </w:p>
    <w:p w:rsidR="00126A23" w:rsidRPr="00D2226E" w:rsidRDefault="00126A23" w:rsidP="00126A2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6A23">
        <w:rPr>
          <w:b/>
          <w:sz w:val="28"/>
          <w:szCs w:val="28"/>
        </w:rPr>
        <w:t>14.</w:t>
      </w:r>
      <w:r w:rsidRPr="00126A23">
        <w:rPr>
          <w:sz w:val="28"/>
          <w:szCs w:val="28"/>
        </w:rPr>
        <w:t xml:space="preserve"> Уровень зарегистрированной безработицы на конец 2015 года составил 1,2 % от экономически активного населения Тверской</w:t>
      </w:r>
      <w:r w:rsidRPr="00D2226E">
        <w:rPr>
          <w:sz w:val="28"/>
          <w:szCs w:val="28"/>
        </w:rPr>
        <w:t xml:space="preserve"> области.</w:t>
      </w:r>
    </w:p>
    <w:p w:rsidR="00126A23" w:rsidRDefault="00126A23" w:rsidP="00126A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26E">
        <w:rPr>
          <w:sz w:val="28"/>
          <w:szCs w:val="28"/>
        </w:rPr>
        <w:t>Отклонение прогнозных параметров по 1 и 2 вариантам от фактическ</w:t>
      </w:r>
      <w:r>
        <w:rPr>
          <w:sz w:val="28"/>
          <w:szCs w:val="28"/>
        </w:rPr>
        <w:t xml:space="preserve">ого </w:t>
      </w:r>
      <w:r w:rsidRPr="00D2226E">
        <w:rPr>
          <w:sz w:val="28"/>
          <w:szCs w:val="28"/>
        </w:rPr>
        <w:t>значени</w:t>
      </w:r>
      <w:r>
        <w:rPr>
          <w:sz w:val="28"/>
          <w:szCs w:val="28"/>
        </w:rPr>
        <w:t>я</w:t>
      </w:r>
      <w:r w:rsidRPr="00D2226E">
        <w:rPr>
          <w:sz w:val="28"/>
          <w:szCs w:val="28"/>
        </w:rPr>
        <w:t xml:space="preserve"> по данному показателю составило минус 0,2 процентн</w:t>
      </w:r>
      <w:r>
        <w:rPr>
          <w:sz w:val="28"/>
          <w:szCs w:val="28"/>
        </w:rPr>
        <w:t>ого</w:t>
      </w:r>
      <w:r w:rsidRPr="00D2226E">
        <w:rPr>
          <w:sz w:val="28"/>
          <w:szCs w:val="28"/>
        </w:rPr>
        <w:t xml:space="preserve"> пункта. Превышение фактически сложившегося уровня зарегистрированной безработицы</w:t>
      </w:r>
      <w:r>
        <w:rPr>
          <w:sz w:val="28"/>
          <w:szCs w:val="28"/>
        </w:rPr>
        <w:t xml:space="preserve"> над прогнозным значением показателя </w:t>
      </w:r>
      <w:r w:rsidRPr="00D2226E">
        <w:rPr>
          <w:sz w:val="28"/>
          <w:szCs w:val="28"/>
        </w:rPr>
        <w:t>вызвано негативн</w:t>
      </w:r>
      <w:r>
        <w:rPr>
          <w:sz w:val="28"/>
          <w:szCs w:val="28"/>
        </w:rPr>
        <w:t>ыми</w:t>
      </w:r>
      <w:r w:rsidRPr="00D2226E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тенденциями на рынке труда региона, сложившимися в 2015 году.</w:t>
      </w:r>
    </w:p>
    <w:p w:rsidR="00111D56" w:rsidRPr="00EB0B3C" w:rsidRDefault="00111D56" w:rsidP="00366B51">
      <w:pPr>
        <w:ind w:firstLine="720"/>
        <w:jc w:val="both"/>
        <w:rPr>
          <w:color w:val="002060"/>
          <w:sz w:val="28"/>
          <w:szCs w:val="28"/>
        </w:rPr>
      </w:pPr>
    </w:p>
    <w:sectPr w:rsidR="00111D56" w:rsidRPr="00EB0B3C" w:rsidSect="002D12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41A"/>
    <w:multiLevelType w:val="hybridMultilevel"/>
    <w:tmpl w:val="1C9E3D06"/>
    <w:lvl w:ilvl="0" w:tplc="8822E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63E9C"/>
    <w:multiLevelType w:val="hybridMultilevel"/>
    <w:tmpl w:val="904E8E86"/>
    <w:lvl w:ilvl="0" w:tplc="979CC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4546C"/>
    <w:multiLevelType w:val="hybridMultilevel"/>
    <w:tmpl w:val="85F0BF8E"/>
    <w:lvl w:ilvl="0" w:tplc="297A7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7658A"/>
    <w:multiLevelType w:val="hybridMultilevel"/>
    <w:tmpl w:val="5B74F424"/>
    <w:lvl w:ilvl="0" w:tplc="3B4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D"/>
    <w:rsid w:val="00006B9A"/>
    <w:rsid w:val="0001114E"/>
    <w:rsid w:val="000175A5"/>
    <w:rsid w:val="00020EE1"/>
    <w:rsid w:val="000302E2"/>
    <w:rsid w:val="00030C31"/>
    <w:rsid w:val="0003395E"/>
    <w:rsid w:val="000460B0"/>
    <w:rsid w:val="00054809"/>
    <w:rsid w:val="000560DC"/>
    <w:rsid w:val="00063A35"/>
    <w:rsid w:val="0007670F"/>
    <w:rsid w:val="000801A7"/>
    <w:rsid w:val="00086CF5"/>
    <w:rsid w:val="000A18D5"/>
    <w:rsid w:val="000A3EEA"/>
    <w:rsid w:val="000A4602"/>
    <w:rsid w:val="000A5C82"/>
    <w:rsid w:val="000B174A"/>
    <w:rsid w:val="000B1A90"/>
    <w:rsid w:val="000B3274"/>
    <w:rsid w:val="000C6E4E"/>
    <w:rsid w:val="000C77F3"/>
    <w:rsid w:val="000D4B12"/>
    <w:rsid w:val="000F364A"/>
    <w:rsid w:val="00111D56"/>
    <w:rsid w:val="001164CB"/>
    <w:rsid w:val="00126A23"/>
    <w:rsid w:val="00137535"/>
    <w:rsid w:val="00144E2A"/>
    <w:rsid w:val="00145D34"/>
    <w:rsid w:val="00153F7F"/>
    <w:rsid w:val="00165BCF"/>
    <w:rsid w:val="00165CCB"/>
    <w:rsid w:val="00167A60"/>
    <w:rsid w:val="001828A6"/>
    <w:rsid w:val="001943B1"/>
    <w:rsid w:val="001951DA"/>
    <w:rsid w:val="0019574B"/>
    <w:rsid w:val="001A10A2"/>
    <w:rsid w:val="001E11E7"/>
    <w:rsid w:val="001E6750"/>
    <w:rsid w:val="001F05F3"/>
    <w:rsid w:val="001F3AFC"/>
    <w:rsid w:val="00207306"/>
    <w:rsid w:val="002202BF"/>
    <w:rsid w:val="00223F8A"/>
    <w:rsid w:val="002255DA"/>
    <w:rsid w:val="00244382"/>
    <w:rsid w:val="00262A6A"/>
    <w:rsid w:val="00266A4D"/>
    <w:rsid w:val="00271C28"/>
    <w:rsid w:val="002B2E37"/>
    <w:rsid w:val="002D1243"/>
    <w:rsid w:val="002E567E"/>
    <w:rsid w:val="002F0B98"/>
    <w:rsid w:val="002F5040"/>
    <w:rsid w:val="00305B3A"/>
    <w:rsid w:val="0031582E"/>
    <w:rsid w:val="00315F2D"/>
    <w:rsid w:val="00316B2F"/>
    <w:rsid w:val="0031755F"/>
    <w:rsid w:val="00324F9D"/>
    <w:rsid w:val="00353EB7"/>
    <w:rsid w:val="003620E6"/>
    <w:rsid w:val="00366B51"/>
    <w:rsid w:val="00366D9D"/>
    <w:rsid w:val="00370BC0"/>
    <w:rsid w:val="00377003"/>
    <w:rsid w:val="00387222"/>
    <w:rsid w:val="00397B41"/>
    <w:rsid w:val="003A5B70"/>
    <w:rsid w:val="003B4242"/>
    <w:rsid w:val="003C6B00"/>
    <w:rsid w:val="00404D21"/>
    <w:rsid w:val="00415FF0"/>
    <w:rsid w:val="00437AC4"/>
    <w:rsid w:val="00442943"/>
    <w:rsid w:val="0045757D"/>
    <w:rsid w:val="004811A6"/>
    <w:rsid w:val="0048590A"/>
    <w:rsid w:val="0049403C"/>
    <w:rsid w:val="004948A5"/>
    <w:rsid w:val="004A0A0B"/>
    <w:rsid w:val="004A0C57"/>
    <w:rsid w:val="004A4FFC"/>
    <w:rsid w:val="004B370D"/>
    <w:rsid w:val="004B376F"/>
    <w:rsid w:val="004B78E3"/>
    <w:rsid w:val="004C45B7"/>
    <w:rsid w:val="004E0FD6"/>
    <w:rsid w:val="004E1747"/>
    <w:rsid w:val="004F6C2E"/>
    <w:rsid w:val="00503BFD"/>
    <w:rsid w:val="00541823"/>
    <w:rsid w:val="005473E9"/>
    <w:rsid w:val="00552BAE"/>
    <w:rsid w:val="005768B9"/>
    <w:rsid w:val="00576CF3"/>
    <w:rsid w:val="00586B15"/>
    <w:rsid w:val="005A6546"/>
    <w:rsid w:val="005C18AA"/>
    <w:rsid w:val="005D7899"/>
    <w:rsid w:val="00601C2C"/>
    <w:rsid w:val="00615DA0"/>
    <w:rsid w:val="006204DF"/>
    <w:rsid w:val="0063025A"/>
    <w:rsid w:val="006440C6"/>
    <w:rsid w:val="006476E4"/>
    <w:rsid w:val="00650669"/>
    <w:rsid w:val="00663FE6"/>
    <w:rsid w:val="00667FF7"/>
    <w:rsid w:val="006712F1"/>
    <w:rsid w:val="006731DB"/>
    <w:rsid w:val="00675AFB"/>
    <w:rsid w:val="00690BA9"/>
    <w:rsid w:val="006A01D2"/>
    <w:rsid w:val="006A2029"/>
    <w:rsid w:val="006A2361"/>
    <w:rsid w:val="006A27C1"/>
    <w:rsid w:val="006A459F"/>
    <w:rsid w:val="006A58F4"/>
    <w:rsid w:val="006A6983"/>
    <w:rsid w:val="006A72BB"/>
    <w:rsid w:val="006C1243"/>
    <w:rsid w:val="006C2780"/>
    <w:rsid w:val="006C5D59"/>
    <w:rsid w:val="006C7079"/>
    <w:rsid w:val="006E36BD"/>
    <w:rsid w:val="006F34CF"/>
    <w:rsid w:val="00703499"/>
    <w:rsid w:val="0070357C"/>
    <w:rsid w:val="00704E1D"/>
    <w:rsid w:val="007065E8"/>
    <w:rsid w:val="00707824"/>
    <w:rsid w:val="00714206"/>
    <w:rsid w:val="007144DC"/>
    <w:rsid w:val="007229FC"/>
    <w:rsid w:val="00722FA9"/>
    <w:rsid w:val="00723BE7"/>
    <w:rsid w:val="00727543"/>
    <w:rsid w:val="00734946"/>
    <w:rsid w:val="00782AE0"/>
    <w:rsid w:val="00782D4E"/>
    <w:rsid w:val="0078489D"/>
    <w:rsid w:val="007866A9"/>
    <w:rsid w:val="00793D7A"/>
    <w:rsid w:val="0079664D"/>
    <w:rsid w:val="007B15DF"/>
    <w:rsid w:val="007C15C3"/>
    <w:rsid w:val="007D6AD7"/>
    <w:rsid w:val="007E02C2"/>
    <w:rsid w:val="007E4AC3"/>
    <w:rsid w:val="007F32F0"/>
    <w:rsid w:val="008118C9"/>
    <w:rsid w:val="00811C7A"/>
    <w:rsid w:val="00821991"/>
    <w:rsid w:val="008231AD"/>
    <w:rsid w:val="00847F02"/>
    <w:rsid w:val="00865FF1"/>
    <w:rsid w:val="00874F54"/>
    <w:rsid w:val="0089773C"/>
    <w:rsid w:val="008B293F"/>
    <w:rsid w:val="008E0A62"/>
    <w:rsid w:val="008E2103"/>
    <w:rsid w:val="008E76B3"/>
    <w:rsid w:val="008F7C15"/>
    <w:rsid w:val="009031D5"/>
    <w:rsid w:val="009054E4"/>
    <w:rsid w:val="0091010E"/>
    <w:rsid w:val="00911931"/>
    <w:rsid w:val="00914E2D"/>
    <w:rsid w:val="00917D43"/>
    <w:rsid w:val="00936589"/>
    <w:rsid w:val="009806A5"/>
    <w:rsid w:val="00991CFC"/>
    <w:rsid w:val="00992B9F"/>
    <w:rsid w:val="00996D86"/>
    <w:rsid w:val="009B5CF5"/>
    <w:rsid w:val="009D4A53"/>
    <w:rsid w:val="009E15AB"/>
    <w:rsid w:val="009E77F4"/>
    <w:rsid w:val="009F196F"/>
    <w:rsid w:val="009F4E30"/>
    <w:rsid w:val="00A00032"/>
    <w:rsid w:val="00A10CBE"/>
    <w:rsid w:val="00A34B30"/>
    <w:rsid w:val="00A36505"/>
    <w:rsid w:val="00A51CAD"/>
    <w:rsid w:val="00A63B44"/>
    <w:rsid w:val="00A83F14"/>
    <w:rsid w:val="00A96490"/>
    <w:rsid w:val="00AC412D"/>
    <w:rsid w:val="00AD0B14"/>
    <w:rsid w:val="00AD6B09"/>
    <w:rsid w:val="00AE2A80"/>
    <w:rsid w:val="00AE471E"/>
    <w:rsid w:val="00AE7C0A"/>
    <w:rsid w:val="00AF75E4"/>
    <w:rsid w:val="00B06C3A"/>
    <w:rsid w:val="00B15F82"/>
    <w:rsid w:val="00B34932"/>
    <w:rsid w:val="00B37E32"/>
    <w:rsid w:val="00B5180D"/>
    <w:rsid w:val="00B56F26"/>
    <w:rsid w:val="00B64466"/>
    <w:rsid w:val="00B7781D"/>
    <w:rsid w:val="00B915E5"/>
    <w:rsid w:val="00B972A7"/>
    <w:rsid w:val="00BA3027"/>
    <w:rsid w:val="00BA4127"/>
    <w:rsid w:val="00BE28C8"/>
    <w:rsid w:val="00BE4E5F"/>
    <w:rsid w:val="00C12BA0"/>
    <w:rsid w:val="00C1691B"/>
    <w:rsid w:val="00C2544E"/>
    <w:rsid w:val="00C31E7E"/>
    <w:rsid w:val="00C36E91"/>
    <w:rsid w:val="00C41400"/>
    <w:rsid w:val="00C62E18"/>
    <w:rsid w:val="00C651FE"/>
    <w:rsid w:val="00C9637A"/>
    <w:rsid w:val="00CA27A2"/>
    <w:rsid w:val="00CB400D"/>
    <w:rsid w:val="00CC7582"/>
    <w:rsid w:val="00CD6DAC"/>
    <w:rsid w:val="00CF2F64"/>
    <w:rsid w:val="00CF43BE"/>
    <w:rsid w:val="00D05794"/>
    <w:rsid w:val="00D14F7D"/>
    <w:rsid w:val="00D176B0"/>
    <w:rsid w:val="00D26F88"/>
    <w:rsid w:val="00D424BF"/>
    <w:rsid w:val="00D43DAC"/>
    <w:rsid w:val="00D668A2"/>
    <w:rsid w:val="00D827BC"/>
    <w:rsid w:val="00D90799"/>
    <w:rsid w:val="00DB6509"/>
    <w:rsid w:val="00DF0594"/>
    <w:rsid w:val="00DF28AA"/>
    <w:rsid w:val="00DF3D6C"/>
    <w:rsid w:val="00E00D11"/>
    <w:rsid w:val="00E026D9"/>
    <w:rsid w:val="00E12EEB"/>
    <w:rsid w:val="00E2164D"/>
    <w:rsid w:val="00E320AE"/>
    <w:rsid w:val="00E354A2"/>
    <w:rsid w:val="00E36115"/>
    <w:rsid w:val="00E377C5"/>
    <w:rsid w:val="00E80E1D"/>
    <w:rsid w:val="00E81A78"/>
    <w:rsid w:val="00E860AA"/>
    <w:rsid w:val="00E90CD4"/>
    <w:rsid w:val="00E97475"/>
    <w:rsid w:val="00EA137D"/>
    <w:rsid w:val="00EA79DE"/>
    <w:rsid w:val="00EB0B3C"/>
    <w:rsid w:val="00EB66C8"/>
    <w:rsid w:val="00EC6EF1"/>
    <w:rsid w:val="00EC732E"/>
    <w:rsid w:val="00ED6FC0"/>
    <w:rsid w:val="00EE238F"/>
    <w:rsid w:val="00EE23DC"/>
    <w:rsid w:val="00EE7F69"/>
    <w:rsid w:val="00EF5B53"/>
    <w:rsid w:val="00F04868"/>
    <w:rsid w:val="00F07055"/>
    <w:rsid w:val="00F140C6"/>
    <w:rsid w:val="00F16AD9"/>
    <w:rsid w:val="00F2733F"/>
    <w:rsid w:val="00F31FD8"/>
    <w:rsid w:val="00F35266"/>
    <w:rsid w:val="00F37406"/>
    <w:rsid w:val="00F45CAA"/>
    <w:rsid w:val="00F52DBA"/>
    <w:rsid w:val="00F6187C"/>
    <w:rsid w:val="00F91E25"/>
    <w:rsid w:val="00F9613B"/>
    <w:rsid w:val="00FB5C7D"/>
    <w:rsid w:val="00FB67CC"/>
    <w:rsid w:val="00FC006C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2202BF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366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A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D0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0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C65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C12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1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2202BF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366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A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D0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0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C65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C12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1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BC92-F10F-4C71-B453-3BF4252D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Зажогина Н.А.</dc:creator>
  <cp:keywords/>
  <dc:description/>
  <cp:lastModifiedBy>Министерство</cp:lastModifiedBy>
  <cp:revision>377</cp:revision>
  <cp:lastPrinted>2016-03-29T06:51:00Z</cp:lastPrinted>
  <dcterms:created xsi:type="dcterms:W3CDTF">2014-04-02T06:23:00Z</dcterms:created>
  <dcterms:modified xsi:type="dcterms:W3CDTF">2016-03-29T06:54:00Z</dcterms:modified>
</cp:coreProperties>
</file>