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545E4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E4" w:rsidRDefault="007B43C1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545E4" w:rsidRDefault="007B43C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123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222"/>
        <w:gridCol w:w="1500"/>
        <w:gridCol w:w="2461"/>
      </w:tblGrid>
      <w:tr w:rsidR="009545E4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</w:tr>
      <w:tr w:rsidR="009545E4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9545E4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9545E4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9545E4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субъекта бюджетной отчетности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</w:tr>
      <w:tr w:rsidR="009545E4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получатель бюджетных средств, главный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</w:tr>
      <w:tr w:rsidR="009545E4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</w:tr>
      <w:tr w:rsidR="009545E4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</w:tr>
      <w:tr w:rsidR="009545E4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0"/>
              </w:rPr>
            </w:pPr>
          </w:p>
        </w:tc>
      </w:tr>
      <w:tr w:rsidR="009545E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Тверская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545E4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</w:tr>
      <w:tr w:rsidR="009545E4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субъекта РФ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545E4" w:rsidRDefault="007B43C1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28000000000</w:t>
            </w:r>
          </w:p>
        </w:tc>
      </w:tr>
      <w:tr w:rsidR="009545E4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</w:tr>
      <w:tr w:rsidR="009545E4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9545E4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</w:tr>
      <w:tr w:rsidR="009545E4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</w:tr>
    </w:tbl>
    <w:p w:rsidR="009545E4" w:rsidRDefault="007B43C1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Организационная структура субъекта бюджетной отчетности</w:t>
      </w:r>
    </w:p>
    <w:p w:rsidR="009545E4" w:rsidRDefault="007B43C1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Годовой отчет об исполнении областного бюджета Тверской области включает отчеты об исполнении бюджета 38 главных администраторов бюджетных средств. 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Результаты деятельности субъекта бюджетной отчетности</w:t>
      </w:r>
    </w:p>
    <w:p w:rsidR="009545E4" w:rsidRDefault="007B43C1">
      <w:pPr>
        <w:ind w:firstLine="5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545E4" w:rsidRDefault="007B43C1">
      <w:pPr>
        <w:ind w:firstLine="5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показатели</w:t>
      </w:r>
    </w:p>
    <w:p w:rsidR="009545E4" w:rsidRDefault="007B43C1">
      <w:pPr>
        <w:ind w:firstLine="5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исполнения областного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бюджета за 2022 год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январь – декабрь 2022 года в областной бюджет Тверской области налоговых и неналоговых доходов поступило 70 740 817 308,63 руб., или 108,1 % годовых назначений.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 сравнению с 2021 годом поступления налоговых и неналого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 доходов увеличились на 9 307 873 022,98 руб., или на 15,2 %.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целом за 2022 год исполнение годовых прогнозных назначений составило: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 налогу на прибыль организаций – 104,3 %;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налогу на доходы физических лиц – 117,2 %;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акцизам – 106,5 %;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 налогам на совокупный доход – 127,1 %;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 налогам на имущество – 106,3 %;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налогам, сборам и регулярным платежам за пользование природными ресурсами – свыше 200 %;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 государственной пошлине – 75,4 %;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 задолженности по отмененным налогам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сборам и иным обязательным платежам – исполнение имеет отрицательное значение (-8 066,82 руб.);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доходам от использования имущества, находящегося в государственной и муниципальной собственности – 97,0 %;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 платежам при пользовании природными ресу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рсами – 98,8 %;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 доходам от оказания платных услуг и компенсации затрат государства – 66,7 %;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 доходам от продажи материальных и нематериальных активов – 113,9 %;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 административным платежам и сборам – 102,0 %;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 штрафам, санкциям и возмещен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ущерба – 109,3 %;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прочим неналоговым доходам -  свыше 200 %.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Основную долю поступлений (80,0 %) составили 4 налога: налог на прибыль организаций – 24,6 %, налог на доходы физических лиц – 27,2 %, акцизы – 17,5 % и налог на имущество организаций –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0,7 %.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Налог на прибыль организаций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2022 поступил в областной бюджет Тверской области в сумме 17 374 077 803,89 руб., или 104,3 % к годовым 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сравнению с 2021 годом увеличение составило 852 016 802,67 руб. или 5,2%.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Увеличение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поступлений по налогу на прибыль организаций сложилось по организациям, не входящим в консолидированные группы налогоплательщиков (далее – КГН), на сумму 1 184 650 320,77 руб. (факт на 01.01.2022 – 12 131 940 937,25 руб., факт на 01.01.2023 – 13 316 591 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8,02 руб.) или на 9,8 %,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превышает прогнозируемый Министерством экономического развития Тверской области на 2022 год темп роста налоговой базы по налогу на прибыль на 4,6 процентных пункта. Рост поступлений объясняется увеличением объемов и цен реализа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продукции по отдельным налогоплательщикам.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 этом, отмечается уменьшение поступлений по налогу на прибыль организаций КГН на сумму 332 633 352,10 руб., в основном за счет уменьшения поступлений по одному из налогоплательщиков - ответственному участн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ику КГН (за 2021 год поступило 3 441 973 718,00 руб., за 2022 год поступило 2 457 232 185,00 руб., что на 984 741 533,00 руб. или 28,6 % меньше), что объясняется изменениями налогового законодательства в части признания с 2022 года курсовых разниц.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ого, в феврале 2022 года произведен возврат ошибочно зачисленной в 2021 году суммы 83 руб. по налогу на прибыль организаций, уплачиваемому международными холдинговыми компаниями, зачисляемому в бюджеты субъектов Российской Федерации (поступления на 01.01.2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023 «-83,00 руб.»).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Налог на доходы физических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НДФЛ) поступил в областной бюджет Тверской области в сумме 19 232 859 916,23 руб., или 117,2 % к годовым назначениям.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Прирост поступлений НДФЛ по сравнению с 2021 годом составляет 3 236 572 262,53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руб. или 20,2 %.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увеличение поступлений сложилось за счет: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платежей от нового налогоплательщика ООО «Холдинг Транспортные Компоненты», поставленного на налоговый учет в Тверской области 25 октября 2021 года;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роста среднемесячной начисленной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заработной платы работников крупных, средних и малых предприятий и организаций Тверской области за январь – ноябрь 2022 года к аналогичному периоду 2021 года 111,8 % (по данным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Тверьстата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при этом прогнозируемый Министерством экономического развития 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рской области на 2022 год темп роста фонда заработной платы работников организаций составляет 104,8 %;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платежей по НДФЛ в виде фиксированных авансовых платежей с доходов, полученных физическими лицами, являющимися иностранными гражданами, осуществляющими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трудовую деятельность по найму у физических лиц на основании патента в соответствии со статьей 227.1 Налогового кодекса Российской Федерации (+279 641 000,00 руб.), что обусловлено увеличением с 01.01.2022 года стоимости патента на 951,00 руб. (6 756,00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уб.) к 2021 году, а также увеличением количества выданных и переоформленных патентов за 2022 год на 508 единиц (17 209 единиц) к 2021 году и ростом облагаемых фактических доходов.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Акцизов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поступило 12 408 257 639,90 руб., или 106,5 % к годовому прогнозу.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сравнению с 2021 годом акцизов поступило больше на 359 771 921,31 руб. или на 3,0 %.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Увеличение поступлений сложилось за счет разницы положительной динамики (+ 1 125 249 821,92 руб.) поступлений по одним видам подакцизной продукции и отрицательной дина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мики (– 765 477 900,61 руб.) по другим.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увеличение поступлений произошло: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 по доходам от уплаты акцизов на дизельное топливо на сумму 563 184 363,63 руб. (50,05 % от общего увеличения), что объясняется ростом налоговой ставки на        4 %, а 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кже ростом объемов реализации. При этом, важно отметить, что в 2022 году по сравнению с 2021 годом для Тверской области снизился утверждаемый законом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федеральном бюджете норматив распределения по доходам от уплаты акцизов на нефтепродукты в целях реализа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 национального проекта «Безопасные качественные дороги» с 2,9913 % до 1,9963 %;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 по доходам от уплаты акцизов на крепкий алкоголь на сумму 312 191 470,98 руб. (27,7 % от общего увеличения), что объясняется увеличением с 01.01.2022 норматива зачисления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80 % до 90 % в бюджеты субъектов доходов, распределяемых пропорционально объемам розничной продажи крепкой алкогольной продукции по данным ЕГАИС, а также ростом налоговой ставки с 566 до 589 руб. за 1 литр безводного этилового спирта;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 по доходам от упл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 акцизов на прямогонный бензин на сумму 175 614 635,24 руб. (15,6 % от общего увеличения) в связи со снижением норматива распределения по доходам от уплаты акцизов на нефтепродукты в целях реализации национального проекта «Безопасные качественные дороги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с 2,9913 % до 1,9963 % (поступления доходов от уплаты акцизов на прямогонный бензин имеют отрицательные значения);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акцизам на сидр,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медовуху на сумму 71 806 796,07 руб. (6,4 % от общего увеличения), что объясняется активным производством и 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ализацией данного вида алкогольной продукции организацией ООО «Вино-Гранде» в связи с переориентацией производства с вина и винных напитков на сидр,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медовуху;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снижение поступлений произошло: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 по акцизам на пиво на сумму 356 366 562,65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(46,6 % от общего снижения), что объяснятся уменьшением объемов производства и реализации пива основным налогоплательщиком в связи с сокращением рынка сбыта из-за прекращения сотрудничества с крупным заказчиком. По информации Министерства промышленности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торговли Тверской области в 2022 году ожидается снижение объемов реализации пива (оценка 3 970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.) относительно прогнозируемых объемов (6 770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 по доходам от уплаты акцизов на автомобильный бензин на сумму 348 959 929,17 руб. (45,6 %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общего снижения), что обусловлено снижением норматива распределения по доходам от уплаты акцизов на нефтепродукты в целях реализации национального проекта «Безопасные качественные дороги» с 2,9913 % до 1,9963 %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рост налоговой ставки составляет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4 %);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 по акцизам на вина на сумму 55 900 470,98 руб. (7,3 % от общего снижения), что объясняется снижением объемов реализации организацией ООО «Вино-Гранде» в связи с переориентацией производства на выпуск другого вида продукции – сидр,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медовуха.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Налогов на совокупный доход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поступило 5 777 822 727,58 руб., или 127,1 % к годовым назначениям, в том числе: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налог, взимаемый в связи с применением упрощенной системы налогообложения, поступил в сумме 5 663 990 857,78 руб., или исполнение составило 125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,7 % годовых назначений.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сравнению с 2021 годом поступления возросли на 1 102 166 169,61 руб., или на 24,2 %, что обусловлено ростом налоговой базы, в том числе в следствии увеличения количества налогоплательщиков, а также с учетом того, что налогоплате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льщиками, перешедшими с ЕНВД (отменен с 01.01.2021), уплата налога произведена по всем 4-м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установленным в 2022 году срокам уплаты налога (за 2021 год, за 1 квартал, полугодие, девять месяцев), тогда как в 2021 году только по 3-м срокам уплаты налога (за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тчетные периоды: 1 квартал, полугодие и девять месяцев); 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единый сельскохозяйственный налог – отрицательное значение 4 415,20 руб. (уточнение платежей за налоговые периоды, истекшие до 1 января 2011 года). С 1 января 2013 года налог подлежит зачислению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 в местные бюджеты;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налог на профессиональный доход (применяется на территории Тверской области с 01.07.2020), поступил в сумме 113 836 285,00 руб., или исполнение составило свыше 200 %. 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сравнению с 2021 годом поступления этого налога возросли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63 461 752,03 руб., или свыше 200 %.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состоянию на 31.12.2022 года (по данным сайта ФНС России) количество налогоплательщиков налога на профессиональный доход составляет 39 684 физических лиц и индивидуальных предпринимателей, по отношению к 31.12.202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количество налогоплательщиков увеличилось на 19 348 или в 2,0 раза. 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Налогов на имущество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9 196 539 467,89 руб., или 106,3 % к годовым бюджетным назначениям, в том числе: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1) налог на имущество организаций поступил в сумме 7 542 298 500,54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или 107,3 % к годовым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сравнению с 2021 годом рост составил 989 693 808,59 руб. или 15,1 % (переоценка основных средств в сторону увеличения (ПАО «Газпром», ОАО «РЖД»));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2) транспортный налог – 1 652 686 847,98 руб., или 102,0 % к годовы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назначениям. 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 сравнению с 2021 годом поступления транспортного налога увеличились на 58 990 282,38 руб., или на 3,7 %, что обусловлено ростом поступлений налога как от организаций (на 14 814 412,24 руб.), так и от физических лиц (на 44 175 870,14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руб.) в следствии увеличения количества транспортных средств;  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налог на игорный бизнес – 1 554 119,37 руб., или 77,1 % годовых прогнозных назначений (сокращение количества объектов игорного бизнеса относительно прогнозируемого значения (при прогнозируе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 количестве объектов на 2022 год - 12, факт 2022 года составил 9 объектов).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сравнению с 2021 годом уменьшение поступлений составило 314 040,63 руб., или 16,8 %.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сравнению с 2022 годом поступление налогов на имущество увеличилось на 1 048 370 050,3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руб., или на 12,9 %. 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Налогов, сборов и регулярных платежей за пользование природными ресурсами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поступило 100 873 804,36 руб., или свыше 200 % к годовым бюджетным назначениям.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 сравнению с 2021 годом поступления увеличились на 47 094 384,62 руб. или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87,6 %.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 поступлений обусловлен увеличением объемов добычи общераспространенных полезных ископаемых (строительство скоростной автомобильной дороги М-11 Москва –Санкт-Петербург (3 этап км 149 –км 208)).</w:t>
      </w:r>
    </w:p>
    <w:p w:rsidR="009545E4" w:rsidRDefault="007B43C1">
      <w:pPr>
        <w:spacing w:line="233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Государственная пошлина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поступила в сумме 166 870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279,63 руб., или 75,4 % годовых прогнозных назначений.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По сравнению с 2021 годом поступление государственной пошлины снизилось на 40 393 107,01 руб., или на 19,5 %, что прежде всего обусловлено уменьшением поступлений государственной пошлины: за действи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связанные с лицензированием розничной продажи алкогольной продукции (на 28 616 356,29 руб.), в связи с продлением на 12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месяцев лицензий, срок действия которых истек с 14.03.2022 по 31.12.2022 в соответствии с постановлением Правительства Российской Фед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ерации от 12.03.2022 № 353 «Об особенностях разрешительной деятельности в Российской Федерации в 2022 году»; за государственную регистрацию прав, ограничений (обременений) прав на недвижимое имущество и сделок с ним (на 8 717 538,17 руб.) в связи со снижен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количества подачи документов через многофункциональные центры ГАУ «МФЦ» Тверской области и увеличением доли подачи документов через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государственную регистрацию транспортных средств и иные юридически значимые действия уполномоченны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(на 2 676 424,91 руб.) в связи с продлением на 3 года действия российских национальных водительс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 удостоверений сроки действия которых истекают (истекли) в период с 1 января 2022 года по 31 декабря 2023 год в соответствии с постановлением Правительства Российской Федерации от 09.04.2022 № 626 «О внесении изменений в постановление Правительства Росс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Федерации от 12 марта 2022 г. № 353».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январь - декабрь 2022 года по поступлению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задолженности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отмененным налогам, сборам и иным обязательным платежам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сложились отрицательные платежи в размере 8 066,82 руб. (при прогнозных назначениях на 2022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 1 900,00 руб.) в результате уточнения налоговым органом платежа, ранее неверно уплаченного (налог, взимаемый в виде стоимости патента в связи с применением упрощенной системы налогообложения).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 Доходов от использования имущества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находящегося в государ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ственной собственности Тверской области, поступило 3 268 966 615,74 руб., исполнение годовых прогнозных назначений составило 97,0 %, из них:</w:t>
      </w:r>
    </w:p>
    <w:p w:rsidR="009545E4" w:rsidRDefault="007B43C1">
      <w:pPr>
        <w:numPr>
          <w:ilvl w:val="0"/>
          <w:numId w:val="1"/>
        </w:numPr>
        <w:spacing w:line="233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доходы в виде прибыли, приходящейся на доли в уставных (складочных)</w:t>
      </w:r>
    </w:p>
    <w:p w:rsidR="009545E4" w:rsidRDefault="007B43C1">
      <w:pPr>
        <w:spacing w:line="233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капиталах хозяйственных товариществ и обществ,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 дивидендов по акциям, принадлежащим Тверской области – при годовом прогнозе в сумме 3 369 000,00 руб. поступили в сумме 1 819 813,10 руб. или 54,0 %. Снижение фактического значения показателя чистой прибыли по итогам финансово-хозяйственной деятельност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за 2021 год: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от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Краснохолмское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ДРСУ» (прогноз 600 000,00 руб., факт – 354 800,00 руб.);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от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Рамешковское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ДРСУ» (прогноз 720 000,00 руб., факт – 64 900,00 руб.);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от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Торопецкое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ДРСУ» (прогноз 649 000,00 руб., факт – 46 800,00 руб.).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 убытка по итогам финансово-хозяйственной деятельности за 2021 год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ДРСУ»,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Осташковское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ДРСУ»;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доходы от операций по управлению остатками средств на едином казначейском счете, зачисляемые в бюджеты субъектов Российской Федерац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при прогнозе на 2022 год в сумме 3 295 452 400,00 руб. поступили в сумме 3 170 684 216,58 руб. или 96,2 %. Правила зачисления средств, полученных от размещения временно свободных средств единого казначейского счета установлены постановлением Правительст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 Российской Федерации от 11.07.2020 № 1020 «О порядке и случаях зачисления средств, полученных от размещения временно свободных средств единого казначейского счета»;</w:t>
      </w:r>
    </w:p>
    <w:p w:rsidR="009545E4" w:rsidRDefault="007B43C1">
      <w:pPr>
        <w:spacing w:line="233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3) проценты, полученные от предоставления бюджетных кредитов внутри страны, поступили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сумме 429 568,86 руб., или 117,4 % годовых прогнозных назначений (прогноз – 366 000,00 руб.). Поступление доходов осуществляется согласно графикам, предусмотренным заключенными договорами;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 доходы от сдачи в аренду имущества, находящегося в областной соб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ственности, при прогнозе 69 438 100,00 руб. поступили в сумме 91 511 432,04 руб., или 131,8 % годовых прогнозных назначений, из них: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 арендные платежи за земельные участки – 59 221 662,96 руб., или 116,3 % годовых назначений (прогноз 50 907 800,00 руб.)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оплата задолженности прошлых лет по арендной плате за земельные участки в размере 9 051 800,00 руб. (прогноз на 2022 год - 6 597 500,00 руб.); оплата арендной платы по договорам аренды земельных участков на сумму 49 135 300,00 руб. (прогноз на 2022 год –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4 310 300,00 руб.); оплата авансовых платежей на сумму 405 300,00 руб.; оплата фактического пользования земельными участками на сумму 692 000,00 руб., возврат денежных средств 62 737,04 руб.),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 доходы от сдачи в аренду имущества, находящегося в оперативно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управлении органов государственной власти Тверской области и созданных ими учреждений, – 4 064 508,29 руб., исполнение составило 100,7 % – к годовым назначениям (прогноз 4 035 700,00 руб.);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 доходы от сдачи в аренду имущества, составляющего казну субъек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Российской Федерации (за исключением земельных участков), поступили в сумме 26 111 114,56 руб., или исполнение составило 182,0 % годовых назначений (прогноз 14 345 000,00 руб.). Оплата задолженности прошлых лет в размере 11 693 100,00 руб.;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плата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соглашениям об установлении сервитута в отношении земельных участков, находящихся в государственной или муниципальной собственности, при прогнозе 77 600,00 руб. поступила в сумме 273 847,72 руб., или свыше 200 % к годовым назначениям (поступление текущих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латежей по соглашениям об установлении сервитута в отношении земельных участков, находящихся в государственной собственности Тверской области (далее - Соглашение), в том числе по соглашениям, заключенным в 2021 - 2022 году, поступления по которым не были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апланированы (в сумме 196 200,00 руб.));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6) доходы от перечисления части прибыли ГУП, остающейся после уплаты налогов и других обязательных платежей, при годовом прогнозе в сумме 1 505 600,00 руб. поступили в сумме 3 786 238,99 руб. или свыше 200 % (осуще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ствлена оплата части чистой прибыли по итогам деятельности за 2021 год 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Торжокское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ДРСУ», ГУП «Водоканал» на общую сумму 2 573 729,99 руб., филиалом Лесное 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Торжокское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ДРСУ» на сумму 1 212 399,00 руб., ГУП «ДЭЗ» в размере 110,00 руб.);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7) прочие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ступления от использования имущества, находящегося в государственной и муниципальной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унитарных предприятий субъектов Российской Федерации, в том числе казенных) при годовом прогнозе платы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найм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жилья в сумме 405 900,00 руб. поступили 461 496,55 руб. или 113,7 % (оплата в 2022 году авансовых платежей за декабрь 2022 (по сроку 10.01.2023)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за 2023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год; увеличения процента собираемости доходов по договорам найма на 2 %, по которым прогнозировались поступления на 2022 год по плате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найм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действующим договорам найма (с 98 % до 100 %)).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По сравнению с 2021 годом поступление доходов от исп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 имущества, находящегося в государственной собственности Тверской области, увеличились на    2 123 468 841,86 руб., или свыше 200 %, что связано в основном с увеличением поступлений доходов от операций по управлению остатками средств на едином 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значейском счете.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Платежей при пользовании природными ресурсами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поступило 650 954 678,42 руб., или 98,8 % к годовым назначениям, в том числе: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плата за негативное воздействие на окружающую среду – 22 787 280,92 руб., или 91,0 % к годовым назначениям.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 сравнению с 2021 годом поступления снизились на 13 988 330,73 руб. или на 38,0 % (снижение объемов размещения отходов производства отдельных хозяйствующих субъектов);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платежи при пользовании недрами – 45 725 307,51 руб., или 139,6 % к годовым назначе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ниям, из них разовых платежей за пользование недрами при наступлении определенных событий, оговоренных в лицензии, при пользовании недрами на территории Российской Федерации по участкам недр местного значения поступило 44 664 892,57 руб. или 139,1 % годовы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назначений. По сравнению с 2021 годом поступления увеличились на 43 994 461,97 руб. или свыше 200 %, поступили разовые платежи по факту открытия месторождения.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плата за использование лесов – 582 442 089,99 руб., или исполнение составило 96,9 % годовых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назначений, из них плата за использование лесов, расположенных на землях лесного фонда, в части, превышающей минимальный размер арендной платы – 563 294 874,75 руб., или 98,1 % годовых назначений (прогноз –574 116 400,00 руб.). Неисполнение обусловлено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личием текущей задолженности по арендной плате за использование лесов Тверской области (согласно пункту 30 Плана мероприятий по поддержке предпринимательской деятельности Тверской области 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давления, утвержденного распоряжени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Правительства Тверской области от 10.03.2022 № 200-рп, сроки внесения арендных платежей по договорам аренды лесных участков перенесены на декабрь 2022 года, при этом задолженность на 01.01.2023 составила 19 600 000,00 руб.); плата по договорам купли-про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дажи для собственных нужд граждан 19 147 215,24 руб. или 89,8 % годовых назначений (прогноз – 21 329 000,00 руб.) в связи с уменьшением спроса населения на отпуск древесины на корню для строительства, ремонта и отопления жилых помещений.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сравнению с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 годом поступления увеличились на 143 994 611,94 руб. или на 32,8 % в связи с окончанием льготного режима уплаты арендных платежей по истечении срока окупаемости инвестиционного проекта ООО «СТОД».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Доходы от оказания платных услуг и компенсации затрат г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осударства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поступили в областной бюджет в сумме 1 545 706 558,52 руб. Исполнение составило 66,7 % годовых назначений, из них доходов от реализации на территории Тверской области новой транспортной модели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1 411 364 651,30 руб. или 64,3 % годового плана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ступлений (прогноз 2 196 477 800,00 руб.). Основной причиной низкого исполнения администратор поступлений (Минтранс Тверской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области) считает общее снижение пассажиропотока в связи со сложившейся эпидемиологической ситуацией в январе-марте, перераспределен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пассажиропотока в сторону льготных пассажиров, а также наличие пассажиров, не оплачивающих проезд, процент безбилетных пассажиров составил от 8 % до 40 % (прогнозировался 10 %).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Доходов от продажи материальных и нематериальных активов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поступило 18 477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176,17 руб., или 113,9 % годовых прогнозных назначений (прогноз – 16 228 100,00 руб.), из них: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 доходы от продажи квартир в сумме 343 787,37 руб. или 101,2 % (прогноз 339 600,0 руб.) – оплата текущих (339 600,00 руб.) и авансовых платежей (4 187,37 руб.)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договорам купли-продажи квартир;</w:t>
      </w:r>
    </w:p>
    <w:p w:rsidR="009545E4" w:rsidRDefault="007B43C1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     – доходы от продажи имущества при прогнозе 1 119 200,00 руб. поступили в сумме 2 698 141,05 руб., или свыше 200 % годовых прогнозных назначений (поступление денежных средств по договору купли-продажи недвижимого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имущества);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 доходы от продажи земельных участков, находящихся в собственности Тверской области, поступили в сумме 15 435 247,75 руб. или 104,5 % (прогноз 14 769 300,00 руб.) (поступления носят заявительный характер).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Административные платежи и сборы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тупили в областной бюджет в сумме 6 811 291,07 руб., или исполнение составило 102,0 %.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Штрафы, санкции, возмещение ущерба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поступили в областной бюджет в сумме 990 379 186,97 руб., или 109,3 % годовых назначений. По сравнению с 2021 годом увеличение состави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 269 773 869,20 руб., или на 37,4 % (увеличение количества административных штрафов за нарушение Правил дорожного движения).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январь – декабрь 2022 года по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прочим неналоговым доходам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поступления составили 4 098 414,19 руб., в том числе невыясненные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поступления в сумме 3 426 940,50 руб., которые подлежат уточнению, и прочие неналоговые доходы бюджетов субъектов Российской Федерации 671 473,69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январь – декабрь 2022 года по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поступлениям (перечислениям) по урегулированию расчетов между бюджетами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бюджетной системы Российской Федерации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сложились отрицательные поступления в сумме 1 870 185,11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 2022 год безвозмездные поступления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исполнены в сумме 34 714 795 788,83 руб., при плановых годовых назначениях 34 223 420 100,0 руб., или 101,4% к годовы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Безвозмездные поступления от других бюджетов бюджетной системы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Российской Федерации за 2022 год исполнены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33 171 458 846,62 руб. при плановых годовых назначениях 33 334 828 500,0 руб., или 99,5 % к годовым назначениям по следующим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направлениям: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Дотации бюджетам субъектов Российской Федерации и муниципальных образований поступили в сумме 6 958 315 100,0 руб., что составило 101,9 % при плановых годовых назначениях 6 830 697 900,0 руб.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 Субсидии бюджетам субъектов Российской Феде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и муниципальных образований (межбюджетные субсидии) поступили в сумме 15 991 964 986,64 руб., что составило 98,4 % при плановых годовых назначениях 16 250 369 800,0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Субвенции бюджетам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поступили в сумме 3 373 509 377,56 руб., что составило 94,6% при плановых годовых назначениях 3 564 987 000,0 руб.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 Иные межбюджетные трансферты поступили в сумме 6 847 669 382,42 руб., что составило 102,4% при плановых годовых назначениях 6 688 773 80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0,0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Безвозмездные поступления от государственных (муниципальных) организаций поступили в сумме 1 420 277 682,75 руб., что составило 185,4 % при плановых годовых назначениях 765 896 800,0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Доходы бюджетов бюджетной системы Российской Федерации от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составили 231 241 205,28 руб., при плановых годовых назначениях 219 406 800,0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 составил – 127 516 250,2 руб., при плановых годовых назначениях 105 362 300,0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Поступления за 2022 год составили менее 95,0 % к годовым назн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ачениям по следующим направлениям: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25028 02 0000 150 «Субсидии бюджетам субъектов Российской Федерации на поддержку региональных проектов в сфере информационных технологий» утверждены в сумме 4 005 300,0 руб., поступили в сумме 3 400 000,0 руб.,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84,9% к утвержденным годовым назначениям. 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Средства федерального бюджета поступили в соответствии с фактически произведенными за 2022 год расходами по данному направлению. На федеральном уровне бюджетные ассигнования отозваны уведомлением от 30.12.2022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605 300,0 руб. 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25086 02 0000 150 «Субсидии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переселению в Российскую Федерацию соотечественников, проживающих за рубежом» утверждены в сумме 4 207 500,0 руб., поступили в сумме 1 672 227,96 руб., или 39,7 % к утвержденным годовым назначениям. 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поступление средств обусловлено тем, что расходы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носят заявительный характер.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25114 02 0000 150 «Субсидии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авоохранения (ЕГИСЗ)"» утверждены в сумме 163 061 200,0 руб., поступили в сумме 116 092 878,63 руб., или 71,2 % к утвержденным годовым назначениям. </w:t>
      </w:r>
    </w:p>
    <w:p w:rsidR="009545E4" w:rsidRDefault="007B43C1">
      <w:pPr>
        <w:ind w:firstLine="560"/>
        <w:jc w:val="both"/>
        <w:outlineLvl w:val="2"/>
        <w:rPr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Данное поступление обусловлено рядом причин, а именно экономией от проведенных конкурентных процедур, а также в связи с тем, что поставщик не исполнил своих обязательств по контракту, нарушив сроки оказания услуг, контракт не оплачен. 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000 2 02 25138 02 00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00 150 «Субсидии бюджетам субъектов Российской Федерации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поселки городского типа, либо города с населением до 50 тыс. человек» утверждены в сумме 34 637 500,0 руб., поступили в сумме 15 725 000,0 руб., или 45,4% к утвержденным годовым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поступление средств обусловлено тем, что выплата носит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явительный характер. 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25201 02 0000 150 «Субсидии бюджетам субъектов Российской Федерации на развитие паллиативной медицинской помощи» утверждены в сумме 53 050 600,0 руб., поступили в сумме 29 378 355,38 руб., или 55,4 % к утвержденным годовым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значениям.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федерального бюджета поступили в соответствии с фактически произведенными за 2022 год расходами по данному направлению.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поступление средств связано со сложившийся экономией по итогам проведенных конкурентных процедур, а также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оплаченными контрактами, так как поставщик не выполнил свои обязательства (товар не поставлен в срок).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25228 02 0000 150 «Субсидии бюджетам субъектов Российской Федерации на оснащение объектов спортивной инфраструктуры спортивно-технологическим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орудованием» утверждены в сумме 16 614 500,0 руб., поступили в сумме 15 403 960,61 руб., или 92,7% к утвержденным годовым назначениям. 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федерального бюджета поступили в соответствии с фактически произведенными за 2022 год расходами по данному напр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авлению. На федеральном уровне бюджетные ассигнования отозваны уведомлением от 29.12.2022 в сумме 1 210 500,0 руб.</w:t>
      </w:r>
    </w:p>
    <w:p w:rsidR="009545E4" w:rsidRDefault="007B43C1">
      <w:pPr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02 25299 02 0000 150 «Субсидии бюджетам субъектов Российской Федерации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расходных обязательств субъектов Российской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 связанных с реализацией федеральной целевой программы "Увековечение памяти погибших при защите Отечества на 2019 - 2024 годы"» утверждены в сумме 13 338 100,0руб., поступили в сумме 12 391 429,1 руб., или 92,9%.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Перечисление средств субсидии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работ по восстановлению воинских захоронений осуществляется по факту выполнения работ и представления муниципальными образованиями Тверской области подтверждающих документов. Данное поступление обусловлено экономией по результатам конкурентных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роцедур.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 2 02 25365 02 0000 150 «Субсидии бюджетам субъектов Российской Федерации на реализацию региональных проектов модернизации первичного звена здравоохранения» утверждены в сумме 1 435 109 600,0 руб., поступили в сумме 1 257 086 526,73 руб., или 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7,6 % к утвержденным годовым назначениям.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Неполное освоение федеральных средств обусловлено, тем что Министерством строительства Тверской области по мероприятиям на строительство учреждений здравоохранения средства перечислены частично в размере установле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авансов. Кроме того, строительство объекта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Бологовская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ЦРБ» перенесено на 2023 год, финансирование строительства объекта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Бежецкой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ЦРБ» не прошло в связи с отсутствием изменений по финансированию данного объекта в ФАИП.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25599 02 0000 150 «Су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бсидии бюджетам субъектов Российской Федерации на подготовку проектов межевания земельных участков и на проведение кадастровых работ» утверждены в сумме 1 794 300,0 руб., поступили в сумме 1 273 282,21 руб., или 71,0 % к утвержденным годовым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федерального бюджета поступили в соответствии с фактически произведенными за 2022 год расходами по данному направлению. На федеральном уровне бюджетные ассигнования отозваны уведомлением от 31.10.2022 в сумме 520 900,0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000 2 02 25752 02 0000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150 «Субсидии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реабилитации» утве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рждены в сумме 58 008 100,0 руб., поступили в сумме 46 613 586,08 руб., или 80,4 % к утвержденным годовым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Перечисление субсидии осуществляется под фактически выполненные работы в соответствии с предоставленными счетами на оплату. Неполное осв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оение федеральных средств обусловлено тем, что невостребованный остаток бюджетных ассигнований образовался в виду сложившейся экономии по итогам проведенных конкурентных процедур, а также неоплаченных контрактов, так как поставщики не выполнили своих обяза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тельств (товар не был поставлен в срок).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02 25753 02 0000 150 «Субсидии бюджетам субъектов Российской Федерации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закупки оборудования для создания "умных" спортивных площадок» утверждены в сумме 78 000 000,0 руб., поступили в сумм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71 230 000,69 руб., или 91,3 % к утвержденным годовым назначениям.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федерального бюджета поступили в соответствии с фактически произведенными за 2022 год расходами по данному направлению. На федеральном уровне бюджетные ассигнования отозваны уве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домлением от 07.12.2022 в сумме 1 349 800,0 руб. и от 29.12.2022 в сумме 5 402 100,0 руб.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02 27336 02 0000 150 «Субсидии бюджетам субъектов Российской Федерации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капитальных вложений в объекты государственной (муниципальной) собст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венности в рамках государственной поддержки инвестиционных проектов путем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строительства (реконструкции) объектов обеспечивающей инфраструктуры с длительным сроком окупаемости» утверждены в сумме 253 499 500,0 руб., поступили в сумме 236 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1 273,6 руб., или 93,2 % к утвержденным годовым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Средства федерального бюджета поступили в соответствии с фактически произведенными за 2022 год расходами по данному направлению.  Неполное освоение федеральных средств обусловлено тем, что части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 не исполнены условия контракта подрядной организацией, а также сложилась экономия по итогам конкурентных процедур.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35120 02 0000 150 «Субвенции бюджетам субъектов Российской Федерации на осуществление полномочий по составлению (изменению) спис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 кандидатов в присяжные заседатели федеральных судов общей юрисдикции в Российской Федерации» утверждены в сумме 4 855 900,0 руб., поступили в сумме 3 658 546,0 руб., или 75,3 % к утвержденным годовым назначениям.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освоение средств обусловлено 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ожившейся экономией по расходам на размещение информации в СМИ.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02 35128 02 0000 150 Субвенции бюджетам субъектов Российской Федерации на осуществление отдельных полномочий в области водных отношений утверждены в сумме 14 675 400,0 руб., поступили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сумме 12 321 001,48 руб., или 84 % к утвержденным годовым назначениям. </w:t>
      </w:r>
    </w:p>
    <w:p w:rsidR="009545E4" w:rsidRDefault="007B43C1">
      <w:pPr>
        <w:ind w:firstLine="4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Данное исполнение обусловлено корректировкой работ в ходе выполнения государственного контракта на расчистку русла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Донховка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г. Конаково от 11.05.2022 № 166 (в связи с изменением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цены выполненных работ по компенсации водным биологическим ресурсам, снижением объемов работ по устройству временных технологических площадок для погрузочно-разгрузочных работ за счет отсутствия необходимости перекладки материалов, предусмотренных контрак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том, снижением цены выполненных работ по перевозке извлеченных донных отложений), вызвавшей снижение цены контракта на 2 354 400,0 руб. (доп. соглашение к контракту заключено 20.12.2022).</w:t>
      </w:r>
    </w:p>
    <w:p w:rsidR="009545E4" w:rsidRDefault="007B43C1">
      <w:pPr>
        <w:ind w:firstLine="4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02 35573 02 0000 150 «Субвенции бюджетам субъектов Российской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Федерации на осуществление ежемесячной выплаты в связи с рождением (усыновлением) первого ребенка» утверждены в сумме 1 188 650 200,0 руб., поступили в сумме 1 015 239 448,93 руб., или 85,4 % к утвержденным годовым назначениям. 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Данное поступление средств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обусловлено тем, что выплаты носят заявительный характер.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45190 02 0000 150 «Межбюджетные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ческими заболеваниями» утверждены в сумме 253 554 600,0 руб., поступили в сумме 167 110 461,00 руб., или 65,9 % к 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Средства федерального бюджета поступили в соответствии с фактически произведенными за 2022 год расходами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данному направлению. Данное исполнение образовалось в связи с неоплатой контракта. Оборудование не введено в эксплуатацию по причине не готовности помещения (не получена лицензия на ввоз источника ионизирующего излучения).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45192 02 0000 150 «Межбю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отделений» утверждены в сумме 166 545 300,0 руб., поступили в сумме 148 992 150,0 руб., или 89,5 %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утвержденным годовым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Средства федерального бюджета поступили в соответствии с фактически произведенными за 2022 год расходами по данному направлению. Данное исполнение обусловлено образовавшимся невостребованным остатком, в виду сложившийся 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кономии по итогам проведенных конкурентных процедур, а также в связи с неоплаченными контрактами (товары не поставлены в срок, установленный в контрактах).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45216 02 0000 150 «Межбюджетные трансферты, передаваемые бюджетам субъектов Российской Феде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муковисцидозом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гипофизарным нанизмом, болезнью Гоше, злокачественными новооб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разованиями лимфоидной, кроветворной и родственных им тканей, рассеянным склерозом,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гемолитико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мукополисахаридозом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I, II и VI типов,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апластической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анемией неуточненной, наследственным дефицитом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факторов II (фибриногена), VII (лабильного), X (Стюарта-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Прауэра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а также после трансплантации органов и (или) тканей» утверждены в сумме 3 768 600,0 руб., поступили в сумме 2 903 602,97 руб., или 77,0 % к утвержденным годовым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исполне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обусловлено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тем, что оплата осуществляется на основании представленного ОГУП «Фармация» акта об оказании услуг уполномоченного фармацевтического склада.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45354 02 0000 150 «Межбюджетные трансферты, передаваемые бюджетам субъектов Российской Фе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дерации на реализацию мероприятий по созданию и организации работы единой службы оперативной помощи гражданам по номеру "122"» утверждены в сумме 7 930 200,0 руб., поступили в сумме 5 597 114,49 руб., или 70,6 % к утвержденным годовым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федерального бюджета поступили в соответствии с фактически произведенными за 2022 год расходами по данному направлению. В соответствии с дополнительным соглашением от 26.12.2022 № 071-17-2022-072/4 предоставление межбюджетных трансфертов по данном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направлению уменьшено на 2 333 085,5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02 45363 02 0000 150 «Межбюджетные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для лиц с ограниченными возможностями здоровья» утверждены в сумме 77 573 200,0 руб., поступили в сумме 72 623 436,9. руб., или 93,6 % к 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поступление обусловлено тем, что перечисление средств осуществляется в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ответствии с заявками учреждений, подведомственных ответственным исполнителям органам государственной власти Тверской области.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45422 02 0000 150 «Межбюджетные трансферты, передаваемые бюджетам субъектов Российской Федерации на компенсацию расходов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связанных с оказанием медицинскими организациями, подведомственными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указанным лицам профилактических прививок, включенных в календарь профилактических прививок по эпидемическим показаниям» утверждены в сумме 46 277 600,0 руб., поступили в сумме 15 210 810,34 руб., или 32,9 % к 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фед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ерального бюджета поступили в соответствии с фактически произведенными за 2022 год расходами по данному направлению. Потребность в данных денежных средствах отсутствовала.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49999 02 0000 150 «Прочие межбюджетные трансферты, передаваемые бюджетам 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бъектов Российской Федерации» утверждены в сумме 304 194 600,0 руб., поступили в сумме 279 068 814,55 руб., или 91,7 % к утвержденным годовым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Неполное освоение федеральных средств обусловлено, тем что Министерством строительства Тверской обла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реализацию мероприятий по развитию инфраструктуры на территории, прилегающей к Ржевскому мемориалу Советскому солдату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средства перечислены частично в размере установленных авансов.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областной бюджет Тверской области поступили средства,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сверх назна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чений, утвержденные в законе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Тверской области «Об областном бюджете Тверской области на 2022 год»: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15549 02 0000 150 «Дотации (гранты) бюджетам субъектов Российской Федерации за достижение показателей деятельности органов исполнительной власти суб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ъектов Российской Федерации» утверждены в сумме 456 164 400,0 руб., поступили в сумме 583 781 600,0 руб., или 128,0 % к утвержденным годовым назначениям. Федеральные средства сверх плановых назначений поступили по платежному поручению от 28.06.2022 № 7960.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25232 02 0000 150 «Субсидии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 образования» утверждены в сумме 125 815 800,0 руб., поступили в сумме 224 546 438,88 руб., или 178,5 % к утвержденным годовым назначениям. Федеральные средства сверх плановых назначений поступили в соответствии с распределением утвержденным распор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яжением Правительства Российской Федерации от 16.12.2022 №3970-р.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25500 02 0000 150 «Субсидии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Волге» утвер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ждены в сумме 860 220 300,0 руб., поступили в сумме 986 784 800,0 руб., или 114,7 % к утвержденным годовым назначениям.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 средства сверх плановых назначений поступили в соответствии с распределением утвержденным распоряжением Правительства Россий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12.12.2022 № 3891-р.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25576 02 0000 150 «Субсидии бюджетам субъектов Российской Федерации на обеспечение комплексного развития сельских территорий» утверждены в сумме 5 986 100,0 руб., поступили в сумме 7 824 144,6 руб., или 130,7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% к 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Федеральные средства сверх плановых назначений поступили в соответствии с распределением утвержденными распоряжениями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10.12.2022 № 3874-р.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35176 02 0000 150 «Субвенции бю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Федерации"» утверждены в сумм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19 086 700,0 руб., поступили в сумме 25 264 998,0 руб., или 132,4 % к 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 средства сверх плановых назначений поступили под фактическую потребность в соответствии с распределением утвержденным распоряжением Правит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20.12.2022 № 4037-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35250 02 0000 150 «Субвенции бюджетам субъектов Российской Федерации на оплату жилищно-коммунальных услуг отдельным категориям граждан» утверждены в сумме 959 137 500,0 руб., поступили в сумме 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72 812 579,09 руб., или 101,4 % к 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 средства сверх плановых назначений поступили под фактическую потребность в соответствии с распределением утвержденным распоряжением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26.10.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№3168-р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02 45141 02 0000 150 «Межбюджетные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округах» утверждены в сумме 7 598 400,0 руб.,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поступили в сумме 17 813 201,51 руб., или св.200 к 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 средства поступили в соответствии с фактической потребностью.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45142 02 0000 150 «Межбюджетные трансферты, передаваемые бюджетам субъектов Российской 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едерации на обеспечение деятельности сенаторов Российской Федерации и их помощников в субъектах Российской Федерации» утверждены в сумме 1 500 000,0 руб., поступили в сумме 4 577 913,67 руб., или св.200 к 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поступили в соответствии с фактической потребностью.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45433 02 0000 150 «Межбюджетные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ышленном комплексе» утверждены в сумме 214 991 800,0 руб., поступили в сумме 224 415 600,0 руб., или 104,4 % к 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 средства сверх плановых назначений поступили в соответствии с распределением утвержденным распоряже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01.11.2022 № 3276-р.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02 45787 02 0000 150 «Межбюджетные трансферты, передаваемые бюджетам субъектов Российской Федерации в целях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расходных обязательств субъектов Российской Федерации на осущ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ествление компенсации предприятиям хлебопекарной промышленности части затрат на производство и реализацию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произведенных и реализованных хлеба и хлебобулочных изделий» утверждены в сумме 56 492 300,0 руб., поступили в сумме 61 944 500,0 руб., или 109,7 %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Федеральные средства сверх плановых назначений поступили в соответствии с распределением утвержденным распоряжением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09.11.2022 № 3385-р.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02 49001 02 0000 150 «Межбюджетные трансф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ерты, передаваемые бюджетам субъектов Российской Федерации, за счет средств резервного фонда Правительства Российской Федерации» утверждены в сумме 643 211 000,0 руб., поступили в сумме 948 367 177,06 руб., или 147,4 % к утвержденным годовым назначениям.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 распоряжениями правительства от 24.10.2022 № 3147-р, от 09.11.2022 № 3385-р, от 26.10.2022 № 3188-р, от 24.12.2022 №4197-р, от 24.11.2022 № 3597-р, от 16.12.2022 №3964-р.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03 02040 02 0000 150 «Безвозмездные поступления в бюджеты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лищного фонда с учетом необходимости развития малоэтажного жилищного строительства» утверждены в сумме 765 896 800,0 руб., поступили в сумме 1 420 199 138,07 руб., или 185,4 % к утвержденным годовым назначениям.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04 02010 02 0000 150 «Предоставление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негосударственными организациями грантов для получателей средств бюджетов субъектов Российской Федерации» утверждены в сумме 6 450 300,0 руб., поступили в сумме 17 009 812,6 руб., или св.200 к утвержденным годовым назначениям. Средства сверх плана поступил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 сумме 10 600 000,00 рублей в соответствии с договором о предоставлении граната Президента Российской Федерации на развитие гражданского общества № Р22-69-1 от 30.03.2022, заключенным между Фондом президентских грантов и Министерством региональной полит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 тверской области. Средства гранта возвращены в сумме 40 400,0 рублей (платежное поручение от 11.11.2022 №311856), в связи с отсутствием потребности.</w:t>
      </w:r>
    </w:p>
    <w:p w:rsidR="009545E4" w:rsidRDefault="007B43C1">
      <w:pPr>
        <w:ind w:firstLine="5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2 07 02030 02 0000 150 «Прочие безвозмездные поступления в бюджеты субъектов Российской Федерации»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утверждены в сумме 2 200 000,0 руб., поступили в сумме 2 321 991,78руб., или 105,5 % к утвержденным годовым назначениям. Поступили сверх плана по платежным поручениям от 30.06.2022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768, от 16.05.2022 № 774660.</w:t>
      </w:r>
    </w:p>
    <w:p w:rsidR="009545E4" w:rsidRDefault="007B43C1">
      <w:pPr>
        <w:ind w:firstLine="700"/>
        <w:jc w:val="both"/>
        <w:outlineLvl w:val="2"/>
        <w:rPr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в областной бюджет Тверской обла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поступили средства,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утвержденные в законе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Тверской области «Об областном бюджете Тверской области на 2022 год» в соответствии с оперативным отчетом об исполнении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</w:t>
      </w:r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олидированного бюджета Тверской области и бюджета Тверского территориального фонда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обязательного медицинского страхования в 2022 году за январь - декабрь 2022 года (по форме месячного отчета, представляемого в Министерство финансов Российской Федерации) по следующим направлениям: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03 02020 02 0000 150 «Поступления от денежных пожер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твований, предоставляемых государственными (муниципальными) организациями получателям средств бюджетов субъектов Российской Федерации» в сумме 3 394,68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000 2 03 02099 02 0000 150 «Прочие безвозмездные поступления от государственных (муниципальных) 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ганизаций в бюджеты субъектов Российской Федерации» в сумме 751 50,0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000 2 07 02020 020000 150 «Поступления от денежных пожертвований, предоставляемых физическими лицами получателям средств бюджетов субъектов Российской Федерации»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сумме 2 500,0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Расходы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Расходная часть бюджета за 2022 года исполнена в сумме 98 805 769 715,69 руб. при плановых годовых назначениях 104 467 156 600 руб., или на 94,6 % к годовым назначениям, в соответствии с изменениями по сводной бюджетной росписи предусмотрено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104 962 837 072,67 руб. или исполнение составило 94,1 % к сводной бюджетной росписи.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Законодательно утвержденный объем бюджетных ассигнований по государственной программе Тверской области "Государственное управление и гражданское общество Тверской облас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ти" на 2018 - 2025 годы увеличен на сумму 10 600 000 руб.,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(+) 10 600 000 руб.- Субсидии некоммерческим неправительственным организациям, участвующим в развитии институтов гражданского общества в Тверской области, на реализацию целевых социаль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программ (социальных проектов). (Договор о предоставлении гранта Президента Российской на развитие гражданского общества от 30.03.2022 № Р22-69-1, платежное поручение от 10.10.2022 № 8274.)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Законодательно утвержденный объем бюджетных ассигнований по 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сударственной программе Тверской области "Развитие образования Тверской области" на 2019 - 2024 годы увеличен на сумму 98 730 700 руб.,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(+) 98 730 700 руб.- Субсидии местным бюджетам на создание дополнительных мест для детей в возрасте от 1,5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 3 лет в образовательных организациях, осуществляющих образовательную деятельность по образовательным программам дошкольного образования, в том числе за счет средств резервного фонда Правительства Российской Федерации (Уведомление Министерства финансов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оссийской Федерации от 27.12.2022 № 280-2022-1-093/001)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Законодательно утвержденный объем бюджетных ассигнований по государственной программе Тверской области "Создание условий для комплексного развития территории Тверской области, обеспечения доступным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комфортным жильем и объектами инфраструктуры населения Тверской области" на 2019 – 2025 годы увеличен на сумму 11 492 700 руб.,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(+) 11 492 700 руб.- Обеспечение мероприятий по переселению граждан из аварийного жилищного фонда за счет средств,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поступивших от государственной корпорации – Фонда содействия реформированию жилищно-коммунального хозяйства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Слоглашение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изменении дополнительного соглашения от 25.01.2022 №13/70/ПС (08-6-СДС); Соглашение об изменении дополнительного соглашения от 06.04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.2020 года № 6/70/ПС (08-5-СДС))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Законодательно утвержденный объем бюджетных ассигнований по государственной программе Тверской области "Здравоохранение Тверской области" на 2019 - 2025 годы увеличен на сумму 424 835 514,5 руб.,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(+) 427 168 60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руб.-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 (Распоряжение Правительства Российской Федерации от 24.11.202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№ 3147-р)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2 333 085,5 руб.- Реализация мероприятий по созданию и организации работы единой службы оперативной помощи гражданам по номеру "122" (Дополнительное соглашение от 26.12.2022 № 071-17-2022-072/4)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Законодательно утвержденный объем бюджетных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ссигнований по государственной программе Государственная программа Тверской области "Развитие демографической и семейной политики Тверской области" на 2020 - 2025 годы уменьшен на сумму 226 702 600 руб.,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53 292 000 руб.- Осуществление ежем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есячной денежной выплаты, назначаемой в случае рождения третьего ребенка или последующих детей до достижения ребенком возраста трех лет (Уведомление Министерства финансов Российской Федерации № 280-2022-1-072/004 от 14 декабря 2022 г о предоставлении субси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дии, субвенции, иного межбюджетного трансферта, имеющих целевое назначение)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173 410 600 руб.- Осуществление ежемесячной выплаты в связи с рождением (усыновлением) первого ребенка (Уведомление Министерства финансов Российской Федерации № 280-2022-2-004/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003 от 14 декабря 2022 г о предоставлении субсидии, субвенции, иного межбюджетного трансферта, имеющих целевое назначение)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Законодательно утвержденный объем бюджетных ассигнований по государственной программе Государственная программа Тверской области "Физ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ическая культура и спорт Тверской области" на 2021 - 2026 годы уменьшен на сумму 7 981 300 руб.,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6 769 900 руб.- Закупка и монтаж оборудования для создания "умных" спортивных площадок (Уведомление Министерства финансов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280-2022-1-085/002 от 7 декабря 2022 г о предоставлении субсидии, субвенции, иного межбюджетного трансферта, имеющих целевое назначение; Уведомление Министерства финансов Российской Федерации № 280-2022-1-085/003 от 29 декабря 2022 г о предоставлении 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бсидии, субвенции, иного межбюджетного трансферта, имеющих целевое назначение)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(-) 1 210 500 руб.- Оснащение объектов спортивной инфраструктуры спортивно-технологическим оборудованием (в части закупки спортивно-технологического оборудования для создания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малых спортивных площадок) (Уведомление Министерства финансов Российской Федерации № 280-2022-1-057/002 от 29 декабря 2022 г о предоставлении субсидии, субвенции, иного межбюджетного трансферта, имеющих целевое назначение)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900 руб.- Приобретение спорти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вного оборудования и инвентаря для приведения организаций спортивной подготовки в нормативное состояние (в части закупки спортивного оборудования и инвентаря для приведения организаций спортивной подготовки в нормативное состояние) (Уведомление Министерств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финансов Российской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Федерации № 280-2022-1-042/001 от 30 декабря 2022 г о предоставлении субсидии, субвенции, иного межбюджетного трансферта, имеющих целевое назначение)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Законодательно утвержденный объем бюджетных ассигнований по государственной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Государственная программа Тверской области "Социальная поддержка и защита населения Тверской области" на 2021 - 2026 годы увеличен на сумму 20 606 100 руб.,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(+) 14 169 600 руб.- Оплата жилищно-коммунальных услуг отдельным категориям граждан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(Уведомление Министерства финансов Российской Федерации № 280-2022-2-013/002 от 2 ноября 2022 г о предоставлении субсидии, субвенции, иного межбюджетного трансферта, имеющих целевое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(+) 6 436 500 руб.-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(Уведомление Министерства финансов Рос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сийской Федерации № 280-2022-2-009/001 от 22 декабря 2022 г о предоставлении субсидии, субвенции, иного межбюджетного трансферта, имеющих целевое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Законодательно утвержденный объем бюджетных ассигнований по государственной программе Государстве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нная программа Тверской области "Содействие занятости населения Тверской области" на 2021 - 2026 годы уменьшен на сумму 132 793 600 руб.,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27 500 000 руб.- Социальные выплаты безработным гражданам в соответствии с Законом Российской Федерац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от 19 апреля 1991 года № 1032-1 "О занятости населения в Российской Федерации" (Уведомление Министерства финансов Российской Федерации № 280-2022-2-001/002 от 13 декабря 2022 г о предоставлении субсидии, субвенции, иного межбюджетного трансферта, имеющи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целевое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103 528 200 руб.- Реализация дополнительных мероприятий, направленных на снижение напряженности на рынке труда субъектов Российской Федерации, в том числе за счет средств резервного фонда Правительства Российской Федерации (Уведо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мление Министерства финансов Российской Федерации № 280-2022-3-023/001 от 31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октября 2022 г о предоставлении субсидии, субвенции, иного межбюджетного трансферта, имеющих целевое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1 765 400 руб.- Реализация региональных программ по организац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 том числе за счет средств резервного фонда Правительства Российской Федерации (Уведомление Министерства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 Российской Федерации № 280-2022-3-022/002 от 31 октября 2022 г о предоставлении субсидии, субвенции, иного межбюджетного трансферта, имеющих целевое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Законодательно утвержденный объем бюджетных ассигнований по государственной программе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Государственная программа Тверской области "Управление природными ресурсами и охрана окружающей среды Тверской области" на 2021 - 2026 годы увеличен на сумму 126 564 500 руб.,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(+) 126 564 500 руб.- Мероприятия по ликвидации (рекультивации)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ъектов накопленного экологического вреда, представляющих угрозу реке Волге (Уведомление Министерства финансов Российской Федерации № 280-2022-1-004/001от 15 декабря 2022 г о предоставлении субсидии, субвенции, иного межбюджетного трансферта, имеющих целево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Законодательно утвержденный объем бюджетных ассигнований по государственной программе Государственная программа Тверской области "Сельское хозяйство Тверской области" на 2021 - 2026 годы увеличен на сумму 15 526 200 руб.,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(-) 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200 руб.- Стимулирование развития приоритетных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агропромышленного комплекса и развитие малых форм хозяйствования (Дополнительное соглашение к Соглашению о предоставлении субсидии из федерального бюджета бюджету субъекта Российской Федерации от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8.12.2021 № 082-09-2022-153)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225 500 руб.- Субсидии местным бюджетам на обеспечение комплексного развития сельских территорий (благоустройство сельских территорий) (Уведомление Министерства финансов Российской Федерации № 280-2022-1-039/001 от 21 декаб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 2022 г о предоставлении субсидии, субвенции, иного межбюджетного трансферта, имеющих целевое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(-) 662 800 руб.- Обеспечение комплексного развития сельских территорий (обустройство инженерной инфраструктурой и благоустройство площадок, распо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ложенных на сельских территориях, под компактную жилищную застройку) (Уведомление Министерства финансов Российской Федерации № 280-2022-1-051/001 от 21 декабря 2022 г о предоставлении субсидии, субвенции, иного межбюджетного трансферта, имеющих целевое наз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520 900 руб.- Субсидии местным бюджетам на подготовку проектов межевания земельных участков и на проведение кадастровых работ (Уведомление Министерства финансов Российской Федерации № 280-2022-1-002/001 от 31 октября 2022 г о предоставлении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убсидии, субвенции, иного межбюджетного трансферта, имеющих целевое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(+) 9 423 800 руб.- Возмещение части затрат на уплату процентов по инвестиционным кредитам (займам) в агропромышленном комплексе (Уведомление Министерства финансов 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 № 280-2022-3-002/001от 8 ноября 2022 г о предоставлении субсидии, субвенции, иного межбюджетного трансферта, имеющих целевое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(+) 5 452 200 руб.- Осуществление компенсации предприятиям хлебопекарной промышленности части затрат на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оизводство и реализацию произведенных и реализованных хлеба и хлебобулочных изделий (Уведомление Министерства финансов Российской Федерации № 280-2022-3-024/001 от 14 ноября 2022 г о предоставлении субсидии, субвенции, иного межбюджетного трансферта, имеющ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целевое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(+) 2 063 600 руб.- Обеспечение комплексного развития сельских территорий (улучшение жилищных условий граждан РФ, проживающих на сельских территориях) (Уведомление Министерства финансов Российской Федерации № 280-2022-1-009/001 от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декабря 2022 г о предоставлении субсидии, субвенции, иного межбюджетного трансферта, имеющих целевое назначение)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Законодательно утвержденный объем бюджетных ассигнований по расходам, не включенным в государственные программы Тверской области увеличен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сумму 154 802 258,2 руб. в том числе: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(+) 127 617 200 руб.- Расходы на поощрение за достижение показателей деятельности органов исполнительной власти субъектов Российской Федерации (Распоряжение Правительства РФ от 09.06.22 № 1518-р; платежное поручение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7960 от 28.06.2022)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(+) 12 820 796,7 руб.- Расходы на обеспечение деятельности депутатов Государственной Думы и их помощников за счет средств федерального бюджета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(+) 3 254 421,5 руб.- Расходы на обеспечение деятельности сенаторов Российской Федерации 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помощников за счет средств федерального бюджета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(Вышеуказанные расходы обеспечиваются за счет иных межбюджетных трансфертов, предоставляемых из федерального бюджета областному бюджету Тверской области на возмещение расходов, связанных с обеспечением деят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 депутатов, сенаторов, осуществленных соответствующими получателями средств областного бюджета Тверской области, - Правительством Тверской области и Законодательным Собранием Тверской области. Законом об областном бюджете Тверской области предусмат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риваются бюджетные ассигнования только с целью создания возможности для заключения контрактов и последующего возмещения этих средств из федерального бюджета.)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(+) 26 889 900 руб.- Расходы на размещение и питание граждан Российской Федерации, Украины, Донец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резервного фонда Правительства Российской Федерации (Распоряжение Правительства Российск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Федерации от 16.12.2022 № 3964-р; Распоряжение Правительства Российской Федерации от 24.11.2022 № 3597-р)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(-) 17 470 000 руб.- Предоставление социальных выплат гражданам Донецкой Народной Республики, Луганской Народной Республики, Украины и лицам без 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ажданства, вынужденно покинувших территории Донецкой Народной Республики, Луганской Народной Республики, Украины и прибывшим на территорию Российской Федерации, за счет средств резервного фонда Правительства Российской Федерации (Распоряжение Правительства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Федерации от 24.12.2022 № 4197-р; Уведомление Министерства финансов Российской Федерации №  280-2022-3-031/002 от 27 декабря 2022 г о предоставлении субсидии, субвенции, иного межбюджетного трансферта, имеющих целевое назначение)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(+) 1 689 940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руб.- Осуществление отдельных полномочий в области лесных отношений (Уведомление Министерства финансов Российской Федерации № 280-2022-2-008/001 от 23 декабря 2022 г о предоставлении субсидии, субвенции, иного межбюджетного трансферта, имеющих целевое назн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ачение).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Источники финансирования дефицита областного бюджета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бюджетных кредитов из других бюджетов бюджетной системы Российской Федерации в валюте Российской Федерации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плановых годовых назначениях в сумме 10 374 595 100 руб. кассовое исполнение в 2022 году составило 706 694 100 руб. или 6,8 %.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2022 году в соответствии с соглашениями, заключенными с Министерством финансов Российской Федерации (от 28.06.2022 № 01-01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-06/06-274, от 28.11.2022 № 01-01-06/06-386) из федерального бюджета были привлечены следующие бюджетные кредиты: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погашения долговых обязательств субъекта Российской Федерации (муниципального образования) в виде обязательств по государственным (муниц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в 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мме 586 694 100 руб.;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на финансовое обеспечение реализации инфраструктурных проектов в сумме 120 000 000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бюджетных кредитов из федерального бюджета на пополнение остатка средств на едином счете бюджета не осуществлялось в связи с отсутст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вием потребности в заемных средствах.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Погашение бюджетных кредитов, полученных из других бюджетов бюджетной системы Российской Федерации в валюте Российской Федерации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плановых годовых назначениях в сумме 9 667 901 000 руб. погашение бюджетных креди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тов, полученных от других бюджетов, в 2022 году не осуществлялось в связи с отсутствием привлечения в 2022 году бюджетных кредитов на пополнение остатка средств на едином счете бюджета.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 бюджетных кредитов, предоставленных юридическим лицам в вал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юте Российской Федерации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плановых годовых назначениях в сумме 8 400 руб. кассовое исполнение составило 10 142 руб. или 120,7 % исходя из фактического объема поступлений от возврата бюджетных кредитов, предоставленных юридическим лицам из областного 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юджета Тверской области.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090 01 06 050202 0500 540 «Предоставление бюджетных кредитов местным бюджетам из бюджета субъекта Российской Федерации, за исключением бюджетных кредитов, предоставляемых за счет федерального бюджета для погашения долговых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 по кредитам, полученным от кредитных организаций»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данной классификации на 2022 год по источникам финансирования дефицита бюджета предусмотрено 220 000 000 руб., кассовое исполнение составило 123 068 100 руб. или 55,9 % к годовым бюджетным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назначениям.  Данное исполнение обусловлено тем, что за 2022 год по результатам рассмотрения шести заявок на получение бюджетного кредита из областного бюджета Тверской области предоставлены бюджетные кредиты.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090 01 06 050202 2900 540 «Предоставление 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юджетных кредитов местным бюджетам из бюджета субъекта Российской Федерации за счет бюджетных кредитов из федерального бюджета, предоставленных для погашения долговых обязательств по кредитам, полученным от кредитных организаций»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данной классификации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 год по источникам финансирования дефицита бюджета предусмотрено 586 694 100 руб., кассовое исполнение составило 100,0 % к годовым бюджетным назначениям. 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090 01 06 050202 0500 640 «Возврат бюджетных кредитов, предоставленных другим бюджетам бюджет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системы Российской Федерации из бюджетов субъектов Российской Федерации в валюте Российской Федерации»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данной классификации предусмотрено по источникам финансирования дефицита бюджета 196 511 300 руб., кассовое исполнение составило 90 531 533 руб.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46,1 % к годовым бюджетным назначениям.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 Фактический возврат бюджетных кредитов в сумме 90 531 533 руб. произведен в соответствии с условиями действующих кредитных договоров, а также обусловлен досрочным погашением бюджетных кредитов, предоставленных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областного бюджета Тверской области.  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Операции по управлению остатками средств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единых счетах бюджетов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пунктом 8 статьи 236.1 Бюджетного кодекса Российской Федерации, постановлением Правительства Тверской области от 03.11.2020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499-пп «О Порядке привлечения остатков средств на единый счет областного бюджета Тверской области и возврата привлеченных средств» в целях обеспечения остатка временно свободных средств на едином счете областного бюджета Тверской области для размещения Фед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еральным казначейством в 2022 году Министерством финансов Тверской области осуществлялось привлечение остатков средств на единый счет областного бюджета Тверской области за счет средств на казначейских счетах для осуществления и отражения операций с денежн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средствами государственных бюджетных учреждений Тверской области, государственных автономных учреждений Тверской области, а также юридических лиц, не являющихся участниками бюджетного процесса, государственными бюджетными учреждениями Тверской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государственными автономными учреждениями Тверской области, и возврат привлеченных средств. 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состоянию на 01.01.2023 остаток средств, привлеченных на единый счет областного бюджета Тверской области с вышеуказанных казначейских счетов, составил 5 594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59 000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left="-180" w:hanging="9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45E4" w:rsidRDefault="007B43C1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Анализ показателей бухгалтерской отчетности субъекта бюджетной отчетности</w:t>
      </w:r>
    </w:p>
    <w:p w:rsidR="009545E4" w:rsidRDefault="007B43C1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45E4" w:rsidRDefault="007B43C1">
      <w:pPr>
        <w:ind w:firstLin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Сведения о государственном долге Тверской области по состоянию на 01.01.2023 года </w:t>
      </w:r>
    </w:p>
    <w:p w:rsidR="009545E4" w:rsidRDefault="007B43C1">
      <w:pPr>
        <w:ind w:firstLin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3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4089"/>
        <w:gridCol w:w="1850"/>
        <w:gridCol w:w="1218"/>
        <w:gridCol w:w="1318"/>
      </w:tblGrid>
      <w:tr w:rsidR="009545E4">
        <w:trPr>
          <w:trHeight w:val="22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Сумма, млн руб.</w:t>
            </w:r>
          </w:p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Возникновение задолженности</w:t>
            </w:r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Срок погашения</w:t>
            </w:r>
          </w:p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задолженности</w:t>
            </w:r>
          </w:p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(окончания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вия обязательства)</w:t>
            </w:r>
          </w:p>
        </w:tc>
      </w:tr>
      <w:tr w:rsidR="009545E4">
        <w:trPr>
          <w:trHeight w:val="225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вид (долговой</w:t>
            </w:r>
          </w:p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инструмент)</w:t>
            </w:r>
          </w:p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документ - основание</w:t>
            </w:r>
          </w:p>
        </w:tc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9545E4">
            <w:pPr>
              <w:rPr>
                <w:color w:val="000000"/>
              </w:rPr>
            </w:pPr>
          </w:p>
        </w:tc>
      </w:tr>
      <w:tr w:rsidR="009545E4">
        <w:trPr>
          <w:trHeight w:val="46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номер</w:t>
            </w:r>
          </w:p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дата</w:t>
            </w:r>
          </w:p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9545E4">
            <w:pPr>
              <w:rPr>
                <w:color w:val="000000"/>
                <w:sz w:val="24"/>
              </w:rPr>
            </w:pPr>
          </w:p>
        </w:tc>
      </w:tr>
      <w:tr w:rsidR="009545E4">
        <w:trPr>
          <w:trHeight w:val="27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307,9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01-01-06/06-234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02.07.2010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30.11.2034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01-01-06/06-606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23.12.2010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30.11.2034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176,4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01-01-06/06-350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14.09.2011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30.11.2034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Бюджетный кредит (соглашение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01-01-06/06-487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16.12.2011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30.11.2034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337,7 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01-01-06/06-521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23.12.2011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30.11.2034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1 322,6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01-01-06/06-59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12.05.2015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5 122,2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01-01-06/06-85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13.05.2016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1 005,0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01-01-06/06-260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14.12.2016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3 047,3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01-01-06/06-163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01.06.2017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1 130,3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01-01-06/06-302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05.12.2017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9545E4">
        <w:trPr>
          <w:trHeight w:val="4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224,2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Бюджетный кредит (соглашение с Министерством финансов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01-01-06/06-382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25.12.2017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9545E4">
        <w:trPr>
          <w:trHeight w:val="51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2 000,3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01-01-06/06-1002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14.12.2020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01.07.2021</w:t>
            </w:r>
          </w:p>
        </w:tc>
      </w:tr>
      <w:tr w:rsidR="009545E4">
        <w:trPr>
          <w:trHeight w:val="51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586,7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01-01-06/06-274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30.06.2022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26.06.2028</w:t>
            </w:r>
          </w:p>
        </w:tc>
      </w:tr>
      <w:tr w:rsidR="009545E4">
        <w:trPr>
          <w:trHeight w:val="51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120,0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01-01-06/06-386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30.11.2037</w:t>
            </w:r>
          </w:p>
        </w:tc>
      </w:tr>
      <w:tr w:rsidR="009545E4">
        <w:trPr>
          <w:trHeight w:val="3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15 510,1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ИТОГО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545E4" w:rsidRDefault="007B43C1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 </w:t>
      </w:r>
    </w:p>
    <w:p w:rsidR="009545E4" w:rsidRDefault="007B43C1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 </w:t>
      </w:r>
    </w:p>
    <w:p w:rsidR="009545E4" w:rsidRDefault="007B43C1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Прочие вопросы деятельности субъекта бюджетной отчетности</w:t>
      </w:r>
    </w:p>
    <w:p w:rsidR="009545E4" w:rsidRDefault="007B43C1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0503110</w:t>
      </w:r>
    </w:p>
    <w:p w:rsidR="009545E4" w:rsidRDefault="007B43C1">
      <w:pPr>
        <w:ind w:firstLine="7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545E4" w:rsidRDefault="007B43C1">
      <w:pPr>
        <w:ind w:firstLine="8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Отклонение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внутридокументальном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в ф.410s в сумме минус 1 870 185,11 руб. связано с начислением задолженности по коду доходов 000 118 0220002 0000 150 «Поступления в бюджеты субъектов Российской Федерации (перечисления из бюджетов субъектов Российской Федерации) по урегулировани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расчетов между бюджетами бюджетной системы Российской Федерации по распределенным доходам» на основании Справок о межбюджетной задолженности по доходам бюджетов за 2021 год</w:t>
      </w:r>
      <w:r>
        <w:rPr>
          <w:rFonts w:ascii="Calibri" w:eastAsia="Calibri" w:hAnsi="Calibri" w:cs="Calibri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муниципальным образованиям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Зубцовского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верской области), сформированных УФК по Тверской области по результатам перераспределения доходов 2021 года между областным и муниципальными бюджетами в соответствии с пунктом 20 Приказа Минфина России от 13.04.2020 № 66н. </w:t>
      </w:r>
    </w:p>
    <w:p w:rsidR="009545E4" w:rsidRDefault="007B43C1">
      <w:pPr>
        <w:ind w:firstLine="8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Начисление доходов по коду 000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0299202 0000 130 по счету 40110136 связано со следующими операциями:</w:t>
      </w:r>
    </w:p>
    <w:p w:rsidR="009545E4" w:rsidRDefault="007B43C1">
      <w:pPr>
        <w:ind w:firstLine="8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- 1 489,00 руб. возврат госпошлины, оплаченной в 2021г., по судебному делу о взыскании задолженности по коммунальным расходам в отношении жильца жилого дома;</w:t>
      </w:r>
    </w:p>
    <w:p w:rsidR="009545E4" w:rsidRDefault="007B43C1">
      <w:pPr>
        <w:ind w:firstLine="8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- 3 485 118,36 руб. начисл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возврата остатков средств субсидий на государственное задание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государственного задания;</w:t>
      </w:r>
    </w:p>
    <w:p w:rsidR="009545E4" w:rsidRDefault="007B43C1">
      <w:pPr>
        <w:ind w:firstLine="8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- 257 000 000,00 руб. начисление дебиторской задолженности прошлых лет на сумму штрафных санкции за поставленные по контракту медицинск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изделия, не имеющие регистрации на территории Российской Федерации.</w:t>
      </w:r>
    </w:p>
    <w:p w:rsidR="009545E4" w:rsidRDefault="007B43C1">
      <w:pPr>
        <w:ind w:firstLine="8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Расхождение между формами 0503110 и 0503710 по счету 140120281 (вид расходов 805) связано с недостаточной выверкой передач имущества между казенными учреждениями и бюджетными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в настоящее время ведется корректировка показателей взаимных расчетов.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5E4" w:rsidRDefault="007B43C1">
      <w:pPr>
        <w:ind w:firstLine="7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0503121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Расхождения между формами 0503321 и 0503125 по счету 1.401.20.251 связано безвозмездной передачей детского питания 3-м федеральным бюджетным учреждениям на сумму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33 039,39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ФГБУЗ МСЧ №57 ФМБА России в сумме 887 175,57руб., ФБУЗ ЦМСЧ № 141 ФМБА России в сумме 4 937 351,76руб., ФГБУЗ МСЧ № 139 ФМБА России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" w:name="_dx_frag_StartFragment"/>
      <w:bookmarkStart w:id="2" w:name="_dx_frag_EndFragment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108 512,06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Расхождения между формами 0503321 и 0503125 по счету 140120254 на сумму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17 133 003,8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связано с безвозмездной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неденежной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передачей земельных участков в ГБУК «Тверской государственный объединенный музей» на сумму 2 936 309,76 руб., в ФГБУ «Главное бассейновое управление по рыболовству и сохранению водных биологических ресурсов» на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14 196 694,09 руб.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КОСГУ 145 отражено списание излишне начисленных сумм по арендной плате.</w:t>
      </w:r>
    </w:p>
    <w:p w:rsidR="009545E4" w:rsidRDefault="007B43C1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КОСГУ 173 списана с баланса дебиторская задолженность по доходам, признанная безнадежной к взысканию, списана невостребованная кредиторская задолженность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доходам и расходам.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КОСГУ 176 отражено изменение кадастровой стоимости земельных участков.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545E4" w:rsidRDefault="007B43C1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45E4" w:rsidRDefault="007B43C1">
      <w:pPr>
        <w:spacing w:befor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545E4" w:rsidRDefault="007B43C1">
      <w:pPr>
        <w:spacing w:befor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545E4" w:rsidRDefault="007B43C1">
      <w:pPr>
        <w:spacing w:befor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545E4" w:rsidRDefault="007B43C1">
      <w:pPr>
        <w:spacing w:befor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545E4" w:rsidRDefault="007B43C1">
      <w:pPr>
        <w:spacing w:befor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545E4" w:rsidRDefault="007B43C1">
      <w:pPr>
        <w:spacing w:befor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545E4" w:rsidRDefault="007B43C1">
      <w:pPr>
        <w:spacing w:befor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545E4" w:rsidRDefault="007B43C1">
      <w:pPr>
        <w:spacing w:befor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545E4" w:rsidRDefault="007B43C1">
      <w:pPr>
        <w:spacing w:before="2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Расшифровка</w:t>
      </w:r>
    </w:p>
    <w:p w:rsidR="009545E4" w:rsidRDefault="007B43C1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остатков по счету 1 302 75 000 "Расчеты по приобретению</w:t>
      </w:r>
    </w:p>
    <w:p w:rsidR="009545E4" w:rsidRDefault="007B43C1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иных финансовых активов" на 01.01.2023</w:t>
      </w:r>
    </w:p>
    <w:p w:rsidR="009545E4" w:rsidRDefault="007B43C1">
      <w:pPr>
        <w:jc w:val="center"/>
        <w:rPr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  </w:t>
      </w:r>
      <w:r>
        <w:rPr>
          <w:rFonts w:ascii="Courier New" w:eastAsia="Courier New" w:hAnsi="Courier New" w:cs="Courier New"/>
          <w:color w:val="000000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tbl>
      <w:tblPr>
        <w:tblW w:w="1155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084"/>
        <w:gridCol w:w="1033"/>
        <w:gridCol w:w="844"/>
        <w:gridCol w:w="1581"/>
        <w:gridCol w:w="1552"/>
        <w:gridCol w:w="1803"/>
        <w:gridCol w:w="1552"/>
        <w:gridCol w:w="1653"/>
      </w:tblGrid>
      <w:tr w:rsidR="009545E4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hyperlink r:id="rId5">
              <w:r>
                <w:rPr>
                  <w:rStyle w:val="a4"/>
                  <w:rFonts w:ascii="Calibri" w:eastAsia="Calibri" w:hAnsi="Calibri" w:cs="Calibri"/>
                  <w:color w:val="000000"/>
                  <w:u w:val="none"/>
                </w:rPr>
                <w:t>ОКТМО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8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по счету 130275000 на 01.01.2023</w:t>
            </w:r>
          </w:p>
        </w:tc>
      </w:tr>
      <w:tr w:rsidR="009545E4">
        <w:tc>
          <w:tcPr>
            <w:tcW w:w="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9545E4"/>
        </w:tc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в части средств, привлеченных:</w:t>
            </w:r>
          </w:p>
        </w:tc>
      </w:tr>
      <w:tr w:rsidR="009545E4">
        <w:trPr>
          <w:trHeight w:val="5472"/>
        </w:trPr>
        <w:tc>
          <w:tcPr>
            <w:tcW w:w="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казначейских счетов для осуществления и отражения операций с денежными средствами, поступающими во временное распоряжение получателей средств бюджета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казначейских счетов для осуществления и отражения операций с денежными средствами бюджетных и автономных учреждений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единых счетов бюджетов государственных внебюджетных фондов, открытых органу управления территориальным государственным внебюджетным фонд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казначейских счетов для осуществления и отражения операций с денежными средствами получателей средств из бюджета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казначейских счетов для осуществления и отражения операций с денежными средствами участников казначейского сопровождения</w:t>
            </w:r>
          </w:p>
        </w:tc>
      </w:tr>
      <w:tr w:rsidR="009545E4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45E4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28000000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субъекта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7 994 759 000,00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489 738 000,00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2 453 160 000,00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5 051 861 000,00</w:t>
            </w:r>
          </w:p>
        </w:tc>
      </w:tr>
    </w:tbl>
    <w:p w:rsidR="009545E4" w:rsidRDefault="007B43C1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Форма 0503173</w:t>
      </w:r>
    </w:p>
    <w:p w:rsidR="009545E4" w:rsidRDefault="007B43C1">
      <w:pPr>
        <w:jc w:val="center"/>
        <w:rPr>
          <w:color w:val="000000"/>
        </w:rPr>
      </w:pPr>
      <w:r>
        <w:rPr>
          <w:rFonts w:ascii="Courier New" w:eastAsia="Courier New" w:hAnsi="Courier New" w:cs="Courier New"/>
          <w:color w:val="000000"/>
        </w:rPr>
        <w:t> </w:t>
      </w:r>
    </w:p>
    <w:p w:rsidR="009545E4" w:rsidRDefault="007B43C1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коду причины 03</w:t>
      </w:r>
    </w:p>
    <w:tbl>
      <w:tblPr>
        <w:tblW w:w="13125" w:type="dxa"/>
        <w:tblInd w:w="108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740"/>
        <w:gridCol w:w="1601"/>
        <w:gridCol w:w="1661"/>
        <w:gridCol w:w="1661"/>
        <w:gridCol w:w="1661"/>
        <w:gridCol w:w="1661"/>
      </w:tblGrid>
      <w:tr w:rsidR="009545E4">
        <w:trPr>
          <w:trHeight w:val="300"/>
        </w:trPr>
        <w:tc>
          <w:tcPr>
            <w:tcW w:w="3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изменений, руб.</w:t>
            </w:r>
          </w:p>
        </w:tc>
        <w:tc>
          <w:tcPr>
            <w:tcW w:w="82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коду причины (руб.)</w:t>
            </w:r>
          </w:p>
        </w:tc>
      </w:tr>
      <w:tr w:rsidR="009545E4">
        <w:trPr>
          <w:trHeight w:val="605"/>
        </w:trPr>
        <w:tc>
          <w:tcPr>
            <w:tcW w:w="31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03.5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9545E4">
        <w:trPr>
          <w:trHeight w:val="327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Счета актива баланса, итого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-244560094,59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-228634688,43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-9180,71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642606,00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-58085514,30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41526682,85</w:t>
            </w:r>
          </w:p>
        </w:tc>
      </w:tr>
      <w:tr w:rsidR="009545E4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-25602641,95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-4271844,60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-41190,00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-21289607,35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-19220497,90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-103377,60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113861,80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-41190,00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-19189792,10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-4763230,61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-74181,95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-4701443,38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12394,72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-242939495,41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-252610817,25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-4912,00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9676233,84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642606,00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020100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15832,80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020400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-23272159,02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-53059444,20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29787285,18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020500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33240156,61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27453862,04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93760,29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1598134,92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4094399,36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020600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77915,71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020900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-1261779,93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686609,33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-1948389,26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030300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83200,31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25627,61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56185,00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Счета пассива баланса, итого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-244560094,59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23315341,37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-9055,03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642606,00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-51896160,87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-216612826,06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020500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-2271,07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-118151,36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115880,29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020800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912,50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030200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-120888,19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-120888,85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030300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913229,70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908333,26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62,84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8365,00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-3531,40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030401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15832,80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030403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040130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-245611365,56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22515211,98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93200,69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642606,00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-52252176,41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-216610207,82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040140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45E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040160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231770,25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231770,25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545E4" w:rsidRDefault="007B43C1">
      <w:pPr>
        <w:jc w:val="center"/>
        <w:rPr>
          <w:color w:val="000000"/>
        </w:rPr>
      </w:pP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0503190</w:t>
      </w:r>
    </w:p>
    <w:p w:rsidR="009545E4" w:rsidRDefault="007B43C1">
      <w:pPr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lastRenderedPageBreak/>
        <w:t> </w:t>
      </w:r>
    </w:p>
    <w:p w:rsidR="009545E4" w:rsidRDefault="007B43C1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Отклонения по учетным кодам объектов на 01.01.2023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cвязаны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корректировкой уникального номера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реестровой записи участника бюджетного процесса на актуальный в соответствии с данными официального сайта «Электронный бюджет».</w:t>
      </w:r>
    </w:p>
    <w:p w:rsidR="009545E4" w:rsidRDefault="007B43C1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9545E4" w:rsidRDefault="007B43C1">
      <w:r>
        <w:t> </w:t>
      </w:r>
    </w:p>
    <w:p w:rsidR="009545E4" w:rsidRDefault="007B43C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8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040"/>
        <w:gridCol w:w="3770"/>
      </w:tblGrid>
      <w:tr w:rsidR="009545E4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9545E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Подтихова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М.И.</w:t>
            </w:r>
          </w:p>
        </w:tc>
      </w:tr>
      <w:tr w:rsidR="009545E4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545E4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45E4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Цветков Д.Е.</w:t>
            </w:r>
          </w:p>
        </w:tc>
      </w:tr>
      <w:tr w:rsidR="009545E4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545E4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9545E4">
            <w:pPr>
              <w:rPr>
                <w:sz w:val="24"/>
              </w:rPr>
            </w:pPr>
          </w:p>
        </w:tc>
      </w:tr>
      <w:tr w:rsidR="009545E4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Снеткова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Н.А.</w:t>
            </w:r>
          </w:p>
        </w:tc>
      </w:tr>
      <w:tr w:rsidR="009545E4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545E4">
        <w:trPr>
          <w:trHeight w:val="449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7B43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"____"   ____________ 20____г.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9545E4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E4" w:rsidRDefault="009545E4">
            <w:pPr>
              <w:rPr>
                <w:sz w:val="24"/>
              </w:rPr>
            </w:pPr>
          </w:p>
        </w:tc>
      </w:tr>
    </w:tbl>
    <w:p w:rsidR="009545E4" w:rsidRDefault="007B43C1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9545E4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3035"/>
    <w:multiLevelType w:val="hybridMultilevel"/>
    <w:tmpl w:val="CEEE3216"/>
    <w:lvl w:ilvl="0" w:tplc="19182E29">
      <w:start w:val="1"/>
      <w:numFmt w:val="decimal"/>
      <w:lvlText w:val="%1."/>
      <w:lvlJc w:val="left"/>
      <w:pPr>
        <w:ind w:left="720" w:hanging="360"/>
      </w:pPr>
    </w:lvl>
    <w:lvl w:ilvl="1" w:tplc="7C1B90A0">
      <w:start w:val="1"/>
      <w:numFmt w:val="decimal"/>
      <w:lvlText w:val="%2."/>
      <w:lvlJc w:val="left"/>
      <w:pPr>
        <w:ind w:left="1440" w:hanging="360"/>
      </w:pPr>
    </w:lvl>
    <w:lvl w:ilvl="2" w:tplc="155A6E5A">
      <w:start w:val="1"/>
      <w:numFmt w:val="decimal"/>
      <w:lvlText w:val="%3."/>
      <w:lvlJc w:val="left"/>
      <w:pPr>
        <w:ind w:left="2160" w:hanging="360"/>
      </w:pPr>
    </w:lvl>
    <w:lvl w:ilvl="3" w:tplc="4115C0C4">
      <w:start w:val="1"/>
      <w:numFmt w:val="decimal"/>
      <w:lvlText w:val="%4."/>
      <w:lvlJc w:val="left"/>
      <w:pPr>
        <w:ind w:left="2880" w:hanging="360"/>
      </w:pPr>
    </w:lvl>
    <w:lvl w:ilvl="4" w:tplc="197947B2">
      <w:start w:val="1"/>
      <w:numFmt w:val="decimal"/>
      <w:lvlText w:val="%5."/>
      <w:lvlJc w:val="left"/>
      <w:pPr>
        <w:ind w:left="3600" w:hanging="360"/>
      </w:pPr>
    </w:lvl>
    <w:lvl w:ilvl="5" w:tplc="436C3C36">
      <w:start w:val="1"/>
      <w:numFmt w:val="decimal"/>
      <w:lvlText w:val="%6."/>
      <w:lvlJc w:val="left"/>
      <w:pPr>
        <w:ind w:left="4320" w:hanging="360"/>
      </w:pPr>
    </w:lvl>
    <w:lvl w:ilvl="6" w:tplc="1F4A8C92">
      <w:start w:val="1"/>
      <w:numFmt w:val="decimal"/>
      <w:lvlText w:val="%7."/>
      <w:lvlJc w:val="left"/>
      <w:pPr>
        <w:ind w:left="5040" w:hanging="360"/>
      </w:pPr>
    </w:lvl>
    <w:lvl w:ilvl="7" w:tplc="22FC7CA6">
      <w:start w:val="1"/>
      <w:numFmt w:val="decimal"/>
      <w:lvlText w:val="%8."/>
      <w:lvlJc w:val="left"/>
      <w:pPr>
        <w:ind w:left="5760" w:hanging="360"/>
      </w:pPr>
    </w:lvl>
    <w:lvl w:ilvl="8" w:tplc="147D259E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E4"/>
    <w:rsid w:val="007B43C1"/>
    <w:rsid w:val="009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76BC"/>
  <w15:docId w15:val="{1B496CEC-4757-42B9-B3B3-9DC741F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334285F6381AAE6E92F32FAC87D037DB2C0F8FE005A133CCDE420B9FA8A2DF28C904C107A9CD21C913DC8BFIFr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11311</Words>
  <Characters>64473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Елена Анатольевна</dc:creator>
  <cp:lastModifiedBy>Чижова Елена Анатольевна</cp:lastModifiedBy>
  <cp:revision>2</cp:revision>
  <dcterms:created xsi:type="dcterms:W3CDTF">2023-06-09T09:37:00Z</dcterms:created>
  <dcterms:modified xsi:type="dcterms:W3CDTF">2023-06-09T09:37:00Z</dcterms:modified>
</cp:coreProperties>
</file>