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E80" w:rsidRDefault="00BE0E80" w:rsidP="00BE0E80">
      <w:pPr>
        <w:spacing w:before="120" w:after="120"/>
        <w:jc w:val="center"/>
        <w:rPr>
          <w:b/>
          <w:szCs w:val="28"/>
        </w:rPr>
      </w:pPr>
      <w:r w:rsidRPr="00757C97">
        <w:rPr>
          <w:b/>
          <w:szCs w:val="28"/>
        </w:rPr>
        <w:t xml:space="preserve">Основные направления налоговой </w:t>
      </w:r>
      <w:r w:rsidR="000072FF">
        <w:rPr>
          <w:b/>
          <w:szCs w:val="28"/>
        </w:rPr>
        <w:t xml:space="preserve">и бюджетной </w:t>
      </w:r>
      <w:r w:rsidRPr="00757C97">
        <w:rPr>
          <w:b/>
          <w:szCs w:val="28"/>
        </w:rPr>
        <w:t>политики Тверской области на 201</w:t>
      </w:r>
      <w:r w:rsidR="00D071EF">
        <w:rPr>
          <w:b/>
          <w:szCs w:val="28"/>
        </w:rPr>
        <w:t>9</w:t>
      </w:r>
      <w:r w:rsidRPr="00757C97">
        <w:rPr>
          <w:b/>
          <w:szCs w:val="28"/>
        </w:rPr>
        <w:t xml:space="preserve"> год и на плановый период 20</w:t>
      </w:r>
      <w:r w:rsidR="00D071EF">
        <w:rPr>
          <w:b/>
          <w:szCs w:val="28"/>
        </w:rPr>
        <w:t>20</w:t>
      </w:r>
      <w:r w:rsidRPr="00757C97">
        <w:rPr>
          <w:b/>
          <w:szCs w:val="28"/>
        </w:rPr>
        <w:t xml:space="preserve"> и 202</w:t>
      </w:r>
      <w:r w:rsidR="00D071EF">
        <w:rPr>
          <w:b/>
          <w:szCs w:val="28"/>
        </w:rPr>
        <w:t>1</w:t>
      </w:r>
      <w:r w:rsidRPr="00757C97">
        <w:rPr>
          <w:b/>
          <w:szCs w:val="28"/>
        </w:rPr>
        <w:t xml:space="preserve"> годов</w:t>
      </w:r>
    </w:p>
    <w:p w:rsidR="000072FF" w:rsidRDefault="000072FF" w:rsidP="000072FF">
      <w:pPr>
        <w:pStyle w:val="a3"/>
        <w:ind w:firstLine="567"/>
        <w:jc w:val="both"/>
        <w:rPr>
          <w:rFonts w:ascii="Times New Roman" w:hAnsi="Times New Roman" w:cs="Times New Roman"/>
          <w:sz w:val="28"/>
          <w:szCs w:val="28"/>
        </w:rPr>
      </w:pPr>
    </w:p>
    <w:p w:rsidR="00D071EF" w:rsidRDefault="000072FF" w:rsidP="00D071EF">
      <w:pPr>
        <w:pStyle w:val="a3"/>
        <w:ind w:firstLine="709"/>
        <w:jc w:val="both"/>
        <w:rPr>
          <w:rFonts w:ascii="Times New Roman" w:hAnsi="Times New Roman" w:cs="Times New Roman"/>
          <w:sz w:val="28"/>
          <w:szCs w:val="28"/>
        </w:rPr>
      </w:pPr>
      <w:r w:rsidRPr="00FE3872">
        <w:rPr>
          <w:rFonts w:ascii="Times New Roman" w:hAnsi="Times New Roman" w:cs="Times New Roman"/>
          <w:sz w:val="28"/>
          <w:szCs w:val="28"/>
        </w:rPr>
        <w:t>При подготовке основных направлений бюджетной и налоговой политики Тверской области на 201</w:t>
      </w:r>
      <w:r w:rsidR="00D071EF">
        <w:rPr>
          <w:rFonts w:ascii="Times New Roman" w:hAnsi="Times New Roman" w:cs="Times New Roman"/>
          <w:sz w:val="28"/>
          <w:szCs w:val="28"/>
        </w:rPr>
        <w:t>9</w:t>
      </w:r>
      <w:r w:rsidRPr="00FE3872">
        <w:rPr>
          <w:rFonts w:ascii="Times New Roman" w:hAnsi="Times New Roman" w:cs="Times New Roman"/>
          <w:sz w:val="28"/>
          <w:szCs w:val="28"/>
        </w:rPr>
        <w:t xml:space="preserve"> год и на плановый период 20</w:t>
      </w:r>
      <w:r w:rsidR="00D071EF">
        <w:rPr>
          <w:rFonts w:ascii="Times New Roman" w:hAnsi="Times New Roman" w:cs="Times New Roman"/>
          <w:sz w:val="28"/>
          <w:szCs w:val="28"/>
        </w:rPr>
        <w:t>20</w:t>
      </w:r>
      <w:r w:rsidRPr="00FE3872">
        <w:rPr>
          <w:rFonts w:ascii="Times New Roman" w:hAnsi="Times New Roman" w:cs="Times New Roman"/>
          <w:sz w:val="28"/>
          <w:szCs w:val="28"/>
        </w:rPr>
        <w:t xml:space="preserve"> и 20</w:t>
      </w:r>
      <w:r>
        <w:rPr>
          <w:rFonts w:ascii="Times New Roman" w:hAnsi="Times New Roman" w:cs="Times New Roman"/>
          <w:sz w:val="28"/>
          <w:szCs w:val="28"/>
        </w:rPr>
        <w:t>2</w:t>
      </w:r>
      <w:r w:rsidR="00D071EF">
        <w:rPr>
          <w:rFonts w:ascii="Times New Roman" w:hAnsi="Times New Roman" w:cs="Times New Roman"/>
          <w:sz w:val="28"/>
          <w:szCs w:val="28"/>
        </w:rPr>
        <w:t>1</w:t>
      </w:r>
      <w:r w:rsidRPr="00FE3872">
        <w:rPr>
          <w:rFonts w:ascii="Times New Roman" w:hAnsi="Times New Roman" w:cs="Times New Roman"/>
          <w:sz w:val="28"/>
          <w:szCs w:val="28"/>
        </w:rPr>
        <w:t xml:space="preserve"> годов были учтены положения</w:t>
      </w:r>
      <w:r w:rsidR="00D071EF">
        <w:rPr>
          <w:rFonts w:ascii="Times New Roman" w:hAnsi="Times New Roman" w:cs="Times New Roman"/>
          <w:sz w:val="28"/>
          <w:szCs w:val="28"/>
        </w:rPr>
        <w:t>:</w:t>
      </w:r>
    </w:p>
    <w:p w:rsidR="00D071EF" w:rsidRDefault="00D071EF"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D071EF">
        <w:rPr>
          <w:rFonts w:ascii="Times New Roman" w:hAnsi="Times New Roman" w:cs="Times New Roman"/>
          <w:sz w:val="28"/>
          <w:szCs w:val="28"/>
        </w:rPr>
        <w:t>Указа Президента Российской Федерации от 7 мая 2018 г. № 204 «О национальных целях и стратегических задачах развития Российской Фе</w:t>
      </w:r>
      <w:r>
        <w:rPr>
          <w:rFonts w:ascii="Times New Roman" w:hAnsi="Times New Roman" w:cs="Times New Roman"/>
          <w:sz w:val="28"/>
          <w:szCs w:val="28"/>
        </w:rPr>
        <w:t>дерации на период до 2024 года»;</w:t>
      </w:r>
    </w:p>
    <w:p w:rsidR="00D071EF" w:rsidRDefault="00D071EF"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D071EF">
        <w:rPr>
          <w:rFonts w:ascii="Times New Roman" w:hAnsi="Times New Roman" w:cs="Times New Roman"/>
          <w:sz w:val="28"/>
          <w:szCs w:val="28"/>
        </w:rPr>
        <w:t>Послания Президента Российской Федерации Федеральному Собранию Российской</w:t>
      </w:r>
      <w:r>
        <w:rPr>
          <w:rFonts w:ascii="Times New Roman" w:hAnsi="Times New Roman" w:cs="Times New Roman"/>
          <w:sz w:val="28"/>
          <w:szCs w:val="28"/>
        </w:rPr>
        <w:t xml:space="preserve"> Федерации от 1 марта 2018 года;</w:t>
      </w:r>
    </w:p>
    <w:p w:rsidR="00D071EF" w:rsidRDefault="00D071EF"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071EF">
        <w:rPr>
          <w:rFonts w:ascii="Times New Roman" w:hAnsi="Times New Roman" w:cs="Times New Roman"/>
          <w:sz w:val="28"/>
          <w:szCs w:val="28"/>
        </w:rPr>
        <w:t>Основны</w:t>
      </w:r>
      <w:r>
        <w:rPr>
          <w:rFonts w:ascii="Times New Roman" w:hAnsi="Times New Roman" w:cs="Times New Roman"/>
          <w:sz w:val="28"/>
          <w:szCs w:val="28"/>
        </w:rPr>
        <w:t>х</w:t>
      </w:r>
      <w:r w:rsidRPr="00D071EF">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D071EF">
        <w:rPr>
          <w:rFonts w:ascii="Times New Roman" w:hAnsi="Times New Roman" w:cs="Times New Roman"/>
          <w:sz w:val="28"/>
          <w:szCs w:val="28"/>
        </w:rPr>
        <w:t xml:space="preserve"> бюджетной, налоговой и таможенно-тарифной политики на 2019 год и плановый период 2020 и 2021 годов, разработанны</w:t>
      </w:r>
      <w:r>
        <w:rPr>
          <w:rFonts w:ascii="Times New Roman" w:hAnsi="Times New Roman" w:cs="Times New Roman"/>
          <w:sz w:val="28"/>
          <w:szCs w:val="28"/>
        </w:rPr>
        <w:t>х</w:t>
      </w:r>
      <w:r w:rsidRPr="00D071EF">
        <w:rPr>
          <w:rFonts w:ascii="Times New Roman" w:hAnsi="Times New Roman" w:cs="Times New Roman"/>
          <w:sz w:val="28"/>
          <w:szCs w:val="28"/>
        </w:rPr>
        <w:t xml:space="preserve"> Министерством финансов Российской Федерации</w:t>
      </w:r>
      <w:r>
        <w:rPr>
          <w:rFonts w:ascii="Times New Roman" w:hAnsi="Times New Roman" w:cs="Times New Roman"/>
          <w:sz w:val="28"/>
          <w:szCs w:val="28"/>
        </w:rPr>
        <w:t>;</w:t>
      </w:r>
    </w:p>
    <w:p w:rsidR="00D071EF" w:rsidRPr="00D071EF" w:rsidRDefault="00D071EF"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D071EF">
        <w:rPr>
          <w:rFonts w:ascii="Times New Roman" w:hAnsi="Times New Roman" w:cs="Times New Roman"/>
          <w:sz w:val="28"/>
          <w:szCs w:val="28"/>
        </w:rPr>
        <w:t>Стратегии социально-экономического развития Тверской области на период до 2030 года, утвержденной Распоряжением Правительства Тверской области 24.09.2013 № 475-рп;</w:t>
      </w:r>
    </w:p>
    <w:p w:rsidR="00D071EF" w:rsidRPr="00D071EF" w:rsidRDefault="00D071EF" w:rsidP="00D071EF">
      <w:pPr>
        <w:pStyle w:val="a3"/>
        <w:ind w:firstLine="709"/>
        <w:jc w:val="both"/>
        <w:rPr>
          <w:rFonts w:ascii="Times New Roman" w:hAnsi="Times New Roman" w:cs="Times New Roman"/>
          <w:sz w:val="28"/>
          <w:szCs w:val="28"/>
        </w:rPr>
      </w:pPr>
      <w:r w:rsidRPr="00D071EF">
        <w:rPr>
          <w:rFonts w:ascii="Times New Roman" w:hAnsi="Times New Roman" w:cs="Times New Roman"/>
          <w:sz w:val="28"/>
          <w:szCs w:val="28"/>
        </w:rPr>
        <w:t>д) Прогноз</w:t>
      </w:r>
      <w:r w:rsidR="008C5203">
        <w:rPr>
          <w:rFonts w:ascii="Times New Roman" w:hAnsi="Times New Roman" w:cs="Times New Roman"/>
          <w:sz w:val="28"/>
          <w:szCs w:val="28"/>
        </w:rPr>
        <w:t>а</w:t>
      </w:r>
      <w:r w:rsidRPr="00D071EF">
        <w:rPr>
          <w:rFonts w:ascii="Times New Roman" w:hAnsi="Times New Roman" w:cs="Times New Roman"/>
          <w:sz w:val="28"/>
          <w:szCs w:val="28"/>
        </w:rPr>
        <w:t xml:space="preserve"> социально-экономического развития Тверской области на период до 2030 года, утвержденн</w:t>
      </w:r>
      <w:r w:rsidR="008C5203">
        <w:rPr>
          <w:rFonts w:ascii="Times New Roman" w:hAnsi="Times New Roman" w:cs="Times New Roman"/>
          <w:sz w:val="28"/>
          <w:szCs w:val="28"/>
        </w:rPr>
        <w:t>ого</w:t>
      </w:r>
      <w:r w:rsidRPr="00D071EF">
        <w:rPr>
          <w:rFonts w:ascii="Times New Roman" w:hAnsi="Times New Roman" w:cs="Times New Roman"/>
          <w:sz w:val="28"/>
          <w:szCs w:val="28"/>
        </w:rPr>
        <w:t xml:space="preserve"> Распоряжением Правительства Тверской области 14.10.2015 № 505-рп;</w:t>
      </w:r>
    </w:p>
    <w:p w:rsidR="000072FF" w:rsidRDefault="00D071EF" w:rsidP="00D071EF">
      <w:pPr>
        <w:pStyle w:val="a3"/>
        <w:ind w:firstLine="709"/>
        <w:jc w:val="both"/>
        <w:rPr>
          <w:rFonts w:ascii="Times New Roman" w:hAnsi="Times New Roman" w:cs="Times New Roman"/>
          <w:sz w:val="28"/>
          <w:szCs w:val="28"/>
        </w:rPr>
      </w:pPr>
      <w:r>
        <w:rPr>
          <w:rFonts w:ascii="Times New Roman" w:hAnsi="Times New Roman" w:cs="Times New Roman"/>
          <w:sz w:val="28"/>
          <w:szCs w:val="28"/>
        </w:rPr>
        <w:t>е</w:t>
      </w:r>
      <w:r w:rsidRPr="00D071EF">
        <w:rPr>
          <w:rFonts w:ascii="Times New Roman" w:hAnsi="Times New Roman" w:cs="Times New Roman"/>
          <w:sz w:val="28"/>
          <w:szCs w:val="28"/>
        </w:rPr>
        <w:t xml:space="preserve">) </w:t>
      </w:r>
      <w:r>
        <w:rPr>
          <w:rFonts w:ascii="Times New Roman" w:hAnsi="Times New Roman" w:cs="Times New Roman"/>
          <w:sz w:val="28"/>
          <w:szCs w:val="28"/>
        </w:rPr>
        <w:t>Государственных программ Тверской области</w:t>
      </w:r>
      <w:r w:rsidRPr="00D071EF">
        <w:rPr>
          <w:rFonts w:ascii="Times New Roman" w:hAnsi="Times New Roman" w:cs="Times New Roman"/>
          <w:sz w:val="28"/>
          <w:szCs w:val="28"/>
        </w:rPr>
        <w:t>.</w:t>
      </w:r>
    </w:p>
    <w:p w:rsidR="00D071EF" w:rsidRPr="000072FF" w:rsidRDefault="00D071EF" w:rsidP="00D071EF">
      <w:pPr>
        <w:pStyle w:val="a3"/>
        <w:ind w:firstLine="567"/>
        <w:jc w:val="both"/>
        <w:rPr>
          <w:b/>
          <w:szCs w:val="28"/>
        </w:rPr>
      </w:pPr>
    </w:p>
    <w:p w:rsidR="005B690D" w:rsidRDefault="005B690D" w:rsidP="005B690D">
      <w:pPr>
        <w:jc w:val="center"/>
        <w:rPr>
          <w:b/>
          <w:szCs w:val="28"/>
        </w:rPr>
      </w:pPr>
      <w:r>
        <w:rPr>
          <w:b/>
          <w:szCs w:val="28"/>
        </w:rPr>
        <w:t>Задачи н</w:t>
      </w:r>
      <w:r w:rsidRPr="00891382">
        <w:rPr>
          <w:b/>
          <w:szCs w:val="28"/>
        </w:rPr>
        <w:t>алогов</w:t>
      </w:r>
      <w:r>
        <w:rPr>
          <w:b/>
          <w:szCs w:val="28"/>
        </w:rPr>
        <w:t>ой</w:t>
      </w:r>
      <w:r w:rsidRPr="00891382">
        <w:rPr>
          <w:b/>
          <w:szCs w:val="28"/>
        </w:rPr>
        <w:t xml:space="preserve"> политик</w:t>
      </w:r>
      <w:r>
        <w:rPr>
          <w:b/>
          <w:szCs w:val="28"/>
        </w:rPr>
        <w:t>и</w:t>
      </w:r>
      <w:r w:rsidRPr="00891382">
        <w:rPr>
          <w:b/>
          <w:szCs w:val="28"/>
        </w:rPr>
        <w:t xml:space="preserve"> Тверской области на 2019 год </w:t>
      </w:r>
    </w:p>
    <w:p w:rsidR="005B690D" w:rsidRPr="00891382" w:rsidRDefault="005B690D" w:rsidP="005B690D">
      <w:pPr>
        <w:jc w:val="center"/>
        <w:rPr>
          <w:b/>
          <w:szCs w:val="28"/>
        </w:rPr>
      </w:pPr>
      <w:r w:rsidRPr="00891382">
        <w:rPr>
          <w:b/>
          <w:szCs w:val="28"/>
        </w:rPr>
        <w:t>и на плановый период 2020 и 2021 годов</w:t>
      </w:r>
    </w:p>
    <w:p w:rsidR="005B690D" w:rsidRPr="0048723C" w:rsidRDefault="005B690D" w:rsidP="005B690D">
      <w:pPr>
        <w:jc w:val="center"/>
        <w:rPr>
          <w:b/>
          <w:szCs w:val="28"/>
          <w:highlight w:val="yellow"/>
        </w:rPr>
      </w:pPr>
    </w:p>
    <w:p w:rsidR="005B690D" w:rsidRPr="001260BC" w:rsidRDefault="005B690D" w:rsidP="005B690D">
      <w:pPr>
        <w:tabs>
          <w:tab w:val="num" w:pos="1083"/>
        </w:tabs>
        <w:ind w:firstLine="709"/>
        <w:jc w:val="both"/>
        <w:rPr>
          <w:szCs w:val="28"/>
        </w:rPr>
      </w:pPr>
      <w:r w:rsidRPr="001260BC">
        <w:rPr>
          <w:szCs w:val="28"/>
        </w:rPr>
        <w:t xml:space="preserve">Основными задачами налоговой политики являются: обеспечение эффективного и стабильного развития экономики Тверской области, повышение </w:t>
      </w:r>
      <w:r>
        <w:rPr>
          <w:szCs w:val="28"/>
        </w:rPr>
        <w:t xml:space="preserve">собираемости </w:t>
      </w:r>
      <w:r w:rsidRPr="001260BC">
        <w:rPr>
          <w:szCs w:val="28"/>
        </w:rPr>
        <w:t xml:space="preserve">налоговых </w:t>
      </w:r>
      <w:r>
        <w:rPr>
          <w:szCs w:val="28"/>
        </w:rPr>
        <w:t xml:space="preserve">и неналоговых </w:t>
      </w:r>
      <w:r w:rsidRPr="001260BC">
        <w:rPr>
          <w:szCs w:val="28"/>
        </w:rPr>
        <w:t>доходов</w:t>
      </w:r>
      <w:r>
        <w:rPr>
          <w:szCs w:val="28"/>
        </w:rPr>
        <w:t>,</w:t>
      </w:r>
      <w:r w:rsidRPr="001260BC">
        <w:rPr>
          <w:szCs w:val="28"/>
        </w:rPr>
        <w:t xml:space="preserve"> </w:t>
      </w:r>
      <w:r>
        <w:rPr>
          <w:szCs w:val="28"/>
        </w:rPr>
        <w:t xml:space="preserve">содействия занятости населения Тверской области и развитие малого и среднего предпринимательства, </w:t>
      </w:r>
      <w:r w:rsidRPr="001260BC">
        <w:rPr>
          <w:szCs w:val="28"/>
        </w:rPr>
        <w:t>проведение оценки эффективности предоставляемых на уровне региона налоговых преференций,</w:t>
      </w:r>
      <w:r>
        <w:rPr>
          <w:szCs w:val="28"/>
        </w:rPr>
        <w:t xml:space="preserve"> а также </w:t>
      </w:r>
      <w:r w:rsidRPr="001260BC">
        <w:rPr>
          <w:szCs w:val="28"/>
        </w:rPr>
        <w:t>продолжение работы по введению налогообложения недвижимости на основе кадастровой оценки.</w:t>
      </w:r>
    </w:p>
    <w:p w:rsidR="005B690D" w:rsidRPr="001260BC" w:rsidRDefault="005B690D" w:rsidP="005B690D">
      <w:pPr>
        <w:ind w:firstLine="709"/>
        <w:jc w:val="center"/>
        <w:rPr>
          <w:b/>
          <w:szCs w:val="28"/>
        </w:rPr>
      </w:pPr>
    </w:p>
    <w:p w:rsidR="005B690D" w:rsidRPr="0048723C" w:rsidRDefault="005B690D" w:rsidP="005B690D">
      <w:pPr>
        <w:ind w:firstLine="709"/>
        <w:jc w:val="center"/>
        <w:rPr>
          <w:b/>
          <w:szCs w:val="28"/>
        </w:rPr>
      </w:pPr>
      <w:r w:rsidRPr="0048723C">
        <w:rPr>
          <w:b/>
          <w:szCs w:val="28"/>
          <w:lang w:val="en-US"/>
        </w:rPr>
        <w:t>I</w:t>
      </w:r>
      <w:r w:rsidRPr="0048723C">
        <w:rPr>
          <w:b/>
          <w:szCs w:val="28"/>
        </w:rPr>
        <w:t xml:space="preserve">. </w:t>
      </w:r>
      <w:r>
        <w:rPr>
          <w:b/>
          <w:szCs w:val="28"/>
        </w:rPr>
        <w:t>О</w:t>
      </w:r>
      <w:r w:rsidRPr="0048723C">
        <w:rPr>
          <w:b/>
          <w:szCs w:val="28"/>
        </w:rPr>
        <w:t>собенности формирования доходной базы</w:t>
      </w:r>
    </w:p>
    <w:p w:rsidR="005B690D" w:rsidRPr="0048723C" w:rsidRDefault="005B690D" w:rsidP="005B690D">
      <w:pPr>
        <w:ind w:firstLine="720"/>
        <w:jc w:val="both"/>
        <w:rPr>
          <w:color w:val="1A1A1A"/>
          <w:szCs w:val="28"/>
          <w:shd w:val="clear" w:color="auto" w:fill="FFFFFF"/>
        </w:rPr>
      </w:pPr>
    </w:p>
    <w:p w:rsidR="005B690D" w:rsidRPr="0048723C" w:rsidRDefault="005B690D" w:rsidP="005B690D">
      <w:pPr>
        <w:ind w:firstLine="720"/>
        <w:jc w:val="both"/>
        <w:rPr>
          <w:color w:val="1A1A1A"/>
          <w:szCs w:val="28"/>
          <w:shd w:val="clear" w:color="auto" w:fill="FFFFFF"/>
        </w:rPr>
      </w:pPr>
      <w:r>
        <w:rPr>
          <w:color w:val="1A1A1A"/>
          <w:szCs w:val="28"/>
          <w:shd w:val="clear" w:color="auto" w:fill="FFFFFF"/>
        </w:rPr>
        <w:t xml:space="preserve">1.1 </w:t>
      </w:r>
      <w:r w:rsidRPr="0048723C">
        <w:rPr>
          <w:color w:val="1A1A1A"/>
          <w:szCs w:val="28"/>
          <w:shd w:val="clear" w:color="auto" w:fill="FFFFFF"/>
        </w:rPr>
        <w:t>Налоговым кодексом Российской Федерации  (далее – НК РФ) предусмотрены особенности уплаты налога на прибыль организаций по структурным подразделениям и консолидированным группам налогоплательщиков (далее – КГН), а Бюджетным кодексом Российской Федерации установлены нормативы централизации по акцизам на алкоголь крепостью свыше 9 процентов (с 01.01.2017), по акцизам на моторные масла, дизельное топливо, автомобильный  и прямогонный бензин с последующим установлением нормативов распределения по субъектам Российской Федерации.</w:t>
      </w:r>
    </w:p>
    <w:p w:rsidR="005B690D" w:rsidRDefault="005B690D" w:rsidP="005B690D">
      <w:pPr>
        <w:ind w:firstLine="720"/>
        <w:jc w:val="both"/>
        <w:rPr>
          <w:color w:val="1A1A1A"/>
          <w:szCs w:val="28"/>
          <w:shd w:val="clear" w:color="auto" w:fill="FFFFFF"/>
        </w:rPr>
      </w:pPr>
      <w:r w:rsidRPr="0048723C">
        <w:rPr>
          <w:color w:val="1A1A1A"/>
          <w:szCs w:val="28"/>
          <w:shd w:val="clear" w:color="auto" w:fill="FFFFFF"/>
        </w:rPr>
        <w:t xml:space="preserve">Доля налоговых доходов консолидированного бюджета Тверской области, формируемых за счет плательщиков с территории всей Российской Федерации (в </w:t>
      </w:r>
      <w:r w:rsidRPr="0048723C">
        <w:rPr>
          <w:color w:val="1A1A1A"/>
          <w:szCs w:val="28"/>
          <w:shd w:val="clear" w:color="auto" w:fill="FFFFFF"/>
        </w:rPr>
        <w:lastRenderedPageBreak/>
        <w:t>порядке централизации и совокупного финансового результата) представлена в таблице 1.</w:t>
      </w:r>
    </w:p>
    <w:p w:rsidR="005B690D" w:rsidRDefault="005B690D" w:rsidP="005B690D">
      <w:pPr>
        <w:ind w:firstLine="720"/>
        <w:jc w:val="both"/>
        <w:rPr>
          <w:color w:val="1A1A1A"/>
          <w:szCs w:val="28"/>
          <w:shd w:val="clear" w:color="auto" w:fill="FFFFFF"/>
        </w:rPr>
      </w:pPr>
    </w:p>
    <w:p w:rsidR="005B690D" w:rsidRPr="0048723C" w:rsidRDefault="005B690D" w:rsidP="005B690D">
      <w:pPr>
        <w:ind w:firstLine="720"/>
        <w:jc w:val="right"/>
        <w:rPr>
          <w:color w:val="1A1A1A"/>
          <w:sz w:val="24"/>
          <w:szCs w:val="24"/>
          <w:shd w:val="clear" w:color="auto" w:fill="FFFFFF"/>
        </w:rPr>
      </w:pPr>
      <w:r w:rsidRPr="0048723C">
        <w:rPr>
          <w:color w:val="1A1A1A"/>
          <w:sz w:val="24"/>
          <w:szCs w:val="24"/>
          <w:shd w:val="clear" w:color="auto" w:fill="FFFFFF"/>
        </w:rPr>
        <w:t>Таблица № 1</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888"/>
        <w:gridCol w:w="637"/>
        <w:gridCol w:w="1666"/>
        <w:gridCol w:w="1594"/>
        <w:gridCol w:w="1670"/>
      </w:tblGrid>
      <w:tr w:rsidR="005B690D" w:rsidRPr="0048723C" w:rsidTr="006F4ACA">
        <w:trPr>
          <w:trHeight w:val="771"/>
        </w:trPr>
        <w:tc>
          <w:tcPr>
            <w:tcW w:w="600" w:type="dxa"/>
            <w:noWrap/>
            <w:vAlign w:val="center"/>
          </w:tcPr>
          <w:p w:rsidR="005B690D" w:rsidRPr="0048723C" w:rsidRDefault="005B690D" w:rsidP="006F4ACA">
            <w:pPr>
              <w:rPr>
                <w:b/>
                <w:sz w:val="22"/>
                <w:szCs w:val="22"/>
              </w:rPr>
            </w:pPr>
            <w:r w:rsidRPr="0048723C">
              <w:rPr>
                <w:b/>
                <w:sz w:val="22"/>
                <w:szCs w:val="22"/>
              </w:rPr>
              <w:t> № п/п</w:t>
            </w:r>
          </w:p>
        </w:tc>
        <w:tc>
          <w:tcPr>
            <w:tcW w:w="3888" w:type="dxa"/>
            <w:vAlign w:val="center"/>
          </w:tcPr>
          <w:p w:rsidR="005B690D" w:rsidRPr="0048723C" w:rsidRDefault="005B690D" w:rsidP="006F4ACA">
            <w:pPr>
              <w:jc w:val="center"/>
              <w:rPr>
                <w:b/>
                <w:sz w:val="22"/>
                <w:szCs w:val="22"/>
              </w:rPr>
            </w:pPr>
            <w:r w:rsidRPr="0048723C">
              <w:rPr>
                <w:b/>
                <w:sz w:val="22"/>
                <w:szCs w:val="22"/>
              </w:rPr>
              <w:t>Наименование</w:t>
            </w:r>
          </w:p>
        </w:tc>
        <w:tc>
          <w:tcPr>
            <w:tcW w:w="637" w:type="dxa"/>
            <w:vAlign w:val="center"/>
          </w:tcPr>
          <w:p w:rsidR="005B690D" w:rsidRPr="0048723C" w:rsidRDefault="005B690D" w:rsidP="006F4ACA">
            <w:pPr>
              <w:jc w:val="center"/>
              <w:rPr>
                <w:b/>
                <w:sz w:val="22"/>
                <w:szCs w:val="22"/>
              </w:rPr>
            </w:pPr>
            <w:r w:rsidRPr="0048723C">
              <w:rPr>
                <w:b/>
                <w:sz w:val="22"/>
                <w:szCs w:val="22"/>
              </w:rPr>
              <w:t>Ед. изм.</w:t>
            </w:r>
          </w:p>
        </w:tc>
        <w:tc>
          <w:tcPr>
            <w:tcW w:w="1666" w:type="dxa"/>
            <w:vAlign w:val="center"/>
          </w:tcPr>
          <w:p w:rsidR="005B690D" w:rsidRPr="0048723C" w:rsidRDefault="005B690D" w:rsidP="006F4ACA">
            <w:pPr>
              <w:jc w:val="center"/>
              <w:rPr>
                <w:b/>
                <w:sz w:val="22"/>
                <w:szCs w:val="22"/>
              </w:rPr>
            </w:pPr>
            <w:r w:rsidRPr="0048723C">
              <w:rPr>
                <w:b/>
                <w:sz w:val="22"/>
                <w:szCs w:val="22"/>
              </w:rPr>
              <w:t>Факт 2015 года</w:t>
            </w:r>
          </w:p>
        </w:tc>
        <w:tc>
          <w:tcPr>
            <w:tcW w:w="1594" w:type="dxa"/>
            <w:vAlign w:val="center"/>
          </w:tcPr>
          <w:p w:rsidR="005B690D" w:rsidRPr="0048723C" w:rsidRDefault="005B690D" w:rsidP="006F4ACA">
            <w:pPr>
              <w:jc w:val="center"/>
              <w:rPr>
                <w:b/>
                <w:sz w:val="22"/>
                <w:szCs w:val="22"/>
              </w:rPr>
            </w:pPr>
            <w:r w:rsidRPr="0048723C">
              <w:rPr>
                <w:b/>
                <w:sz w:val="22"/>
                <w:szCs w:val="22"/>
              </w:rPr>
              <w:t>Факт 2016 года</w:t>
            </w:r>
          </w:p>
        </w:tc>
        <w:tc>
          <w:tcPr>
            <w:tcW w:w="1670" w:type="dxa"/>
            <w:vAlign w:val="center"/>
          </w:tcPr>
          <w:p w:rsidR="005B690D" w:rsidRPr="0048723C" w:rsidRDefault="005B690D" w:rsidP="006F4ACA">
            <w:pPr>
              <w:jc w:val="center"/>
              <w:rPr>
                <w:b/>
                <w:sz w:val="22"/>
                <w:szCs w:val="22"/>
              </w:rPr>
            </w:pPr>
            <w:r w:rsidRPr="0048723C">
              <w:rPr>
                <w:b/>
                <w:sz w:val="22"/>
                <w:szCs w:val="22"/>
              </w:rPr>
              <w:t>Факт 201</w:t>
            </w:r>
            <w:r w:rsidRPr="0048723C">
              <w:rPr>
                <w:b/>
                <w:sz w:val="22"/>
                <w:szCs w:val="22"/>
                <w:lang w:val="en-US"/>
              </w:rPr>
              <w:t>7</w:t>
            </w:r>
            <w:r w:rsidRPr="0048723C">
              <w:rPr>
                <w:b/>
                <w:sz w:val="22"/>
                <w:szCs w:val="22"/>
              </w:rPr>
              <w:t xml:space="preserve"> года</w:t>
            </w:r>
          </w:p>
        </w:tc>
      </w:tr>
      <w:tr w:rsidR="005B690D" w:rsidRPr="0048723C" w:rsidTr="006F4ACA">
        <w:trPr>
          <w:trHeight w:val="1039"/>
        </w:trPr>
        <w:tc>
          <w:tcPr>
            <w:tcW w:w="600" w:type="dxa"/>
            <w:noWrap/>
            <w:vAlign w:val="center"/>
          </w:tcPr>
          <w:p w:rsidR="005B690D" w:rsidRPr="006214D3" w:rsidRDefault="005B690D" w:rsidP="006F4ACA">
            <w:pPr>
              <w:jc w:val="center"/>
              <w:rPr>
                <w:bCs/>
                <w:sz w:val="22"/>
                <w:szCs w:val="22"/>
              </w:rPr>
            </w:pPr>
            <w:r w:rsidRPr="006214D3">
              <w:rPr>
                <w:bCs/>
                <w:sz w:val="22"/>
                <w:szCs w:val="22"/>
              </w:rPr>
              <w:t>1.</w:t>
            </w:r>
          </w:p>
        </w:tc>
        <w:tc>
          <w:tcPr>
            <w:tcW w:w="3888" w:type="dxa"/>
            <w:vAlign w:val="center"/>
          </w:tcPr>
          <w:p w:rsidR="005B690D" w:rsidRPr="0048723C" w:rsidRDefault="005B690D" w:rsidP="006F4ACA">
            <w:pPr>
              <w:rPr>
                <w:b/>
                <w:bCs/>
                <w:sz w:val="22"/>
                <w:szCs w:val="22"/>
              </w:rPr>
            </w:pPr>
            <w:r w:rsidRPr="0048723C">
              <w:rPr>
                <w:b/>
                <w:bCs/>
                <w:sz w:val="22"/>
                <w:szCs w:val="22"/>
              </w:rPr>
              <w:t>Налоговые доходы консолидированного бюджета Тверской области, всего</w:t>
            </w:r>
          </w:p>
        </w:tc>
        <w:tc>
          <w:tcPr>
            <w:tcW w:w="637" w:type="dxa"/>
            <w:vAlign w:val="center"/>
          </w:tcPr>
          <w:p w:rsidR="005B690D" w:rsidRPr="0048723C" w:rsidRDefault="005B690D" w:rsidP="006F4ACA">
            <w:pPr>
              <w:jc w:val="right"/>
              <w:rPr>
                <w:b/>
                <w:bCs/>
                <w:sz w:val="22"/>
                <w:szCs w:val="22"/>
              </w:rPr>
            </w:pPr>
            <w:r w:rsidRPr="0048723C">
              <w:rPr>
                <w:bCs/>
                <w:sz w:val="22"/>
                <w:szCs w:val="22"/>
              </w:rPr>
              <w:t>тыс. руб</w:t>
            </w:r>
            <w:r w:rsidRPr="0048723C">
              <w:rPr>
                <w:b/>
                <w:bCs/>
                <w:sz w:val="22"/>
                <w:szCs w:val="22"/>
              </w:rPr>
              <w:t>.</w:t>
            </w:r>
          </w:p>
        </w:tc>
        <w:tc>
          <w:tcPr>
            <w:tcW w:w="1666" w:type="dxa"/>
            <w:noWrap/>
            <w:vAlign w:val="center"/>
          </w:tcPr>
          <w:p w:rsidR="005B690D" w:rsidRPr="0048723C" w:rsidRDefault="005B690D" w:rsidP="006F4ACA">
            <w:pPr>
              <w:rPr>
                <w:b/>
                <w:bCs/>
                <w:sz w:val="22"/>
                <w:szCs w:val="22"/>
              </w:rPr>
            </w:pPr>
            <w:r w:rsidRPr="0048723C">
              <w:rPr>
                <w:b/>
                <w:bCs/>
                <w:sz w:val="22"/>
                <w:szCs w:val="22"/>
              </w:rPr>
              <w:t>46 103 086,9</w:t>
            </w:r>
          </w:p>
        </w:tc>
        <w:tc>
          <w:tcPr>
            <w:tcW w:w="1594" w:type="dxa"/>
            <w:noWrap/>
            <w:vAlign w:val="center"/>
          </w:tcPr>
          <w:p w:rsidR="005B690D" w:rsidRPr="0048723C" w:rsidRDefault="005B690D" w:rsidP="006F4ACA">
            <w:pPr>
              <w:rPr>
                <w:b/>
                <w:bCs/>
                <w:sz w:val="22"/>
                <w:szCs w:val="22"/>
              </w:rPr>
            </w:pPr>
            <w:r w:rsidRPr="0048723C">
              <w:rPr>
                <w:b/>
                <w:bCs/>
                <w:sz w:val="22"/>
                <w:szCs w:val="22"/>
              </w:rPr>
              <w:t>47 678 880,6</w:t>
            </w:r>
          </w:p>
        </w:tc>
        <w:tc>
          <w:tcPr>
            <w:tcW w:w="1670" w:type="dxa"/>
            <w:vAlign w:val="center"/>
          </w:tcPr>
          <w:p w:rsidR="005B690D" w:rsidRPr="0048723C" w:rsidRDefault="005B690D" w:rsidP="006F4ACA">
            <w:pPr>
              <w:jc w:val="center"/>
              <w:rPr>
                <w:b/>
                <w:bCs/>
                <w:sz w:val="22"/>
                <w:szCs w:val="22"/>
              </w:rPr>
            </w:pPr>
            <w:r w:rsidRPr="0048723C">
              <w:rPr>
                <w:b/>
                <w:bCs/>
                <w:sz w:val="22"/>
                <w:szCs w:val="22"/>
              </w:rPr>
              <w:t>49 938</w:t>
            </w:r>
            <w:r w:rsidR="00AC42DB">
              <w:rPr>
                <w:b/>
                <w:bCs/>
                <w:sz w:val="22"/>
                <w:szCs w:val="22"/>
              </w:rPr>
              <w:t> </w:t>
            </w:r>
            <w:r w:rsidRPr="0048723C">
              <w:rPr>
                <w:b/>
                <w:bCs/>
                <w:sz w:val="22"/>
                <w:szCs w:val="22"/>
              </w:rPr>
              <w:t>021</w:t>
            </w:r>
            <w:r w:rsidR="00AC42DB">
              <w:rPr>
                <w:b/>
                <w:bCs/>
                <w:sz w:val="22"/>
                <w:szCs w:val="22"/>
              </w:rPr>
              <w:t>,0</w:t>
            </w:r>
          </w:p>
        </w:tc>
      </w:tr>
      <w:tr w:rsidR="005B690D" w:rsidRPr="0048723C" w:rsidTr="006F4ACA">
        <w:trPr>
          <w:trHeight w:val="255"/>
        </w:trPr>
        <w:tc>
          <w:tcPr>
            <w:tcW w:w="600" w:type="dxa"/>
            <w:noWrap/>
            <w:vAlign w:val="bottom"/>
          </w:tcPr>
          <w:p w:rsidR="005B690D" w:rsidRPr="0048723C" w:rsidRDefault="005B690D" w:rsidP="006F4ACA">
            <w:pPr>
              <w:rPr>
                <w:sz w:val="22"/>
                <w:szCs w:val="22"/>
              </w:rPr>
            </w:pPr>
            <w:r w:rsidRPr="0048723C">
              <w:rPr>
                <w:sz w:val="22"/>
                <w:szCs w:val="22"/>
              </w:rPr>
              <w:t> </w:t>
            </w:r>
          </w:p>
        </w:tc>
        <w:tc>
          <w:tcPr>
            <w:tcW w:w="3888" w:type="dxa"/>
            <w:vAlign w:val="bottom"/>
          </w:tcPr>
          <w:p w:rsidR="005B690D" w:rsidRPr="0048723C" w:rsidRDefault="005B690D" w:rsidP="006F4ACA">
            <w:pPr>
              <w:rPr>
                <w:sz w:val="22"/>
                <w:szCs w:val="22"/>
              </w:rPr>
            </w:pPr>
            <w:r w:rsidRPr="0048723C">
              <w:rPr>
                <w:sz w:val="22"/>
                <w:szCs w:val="22"/>
              </w:rPr>
              <w:t>в том числе:</w:t>
            </w:r>
          </w:p>
        </w:tc>
        <w:tc>
          <w:tcPr>
            <w:tcW w:w="637" w:type="dxa"/>
            <w:vAlign w:val="center"/>
          </w:tcPr>
          <w:p w:rsidR="005B690D" w:rsidRPr="0048723C" w:rsidRDefault="005B690D" w:rsidP="006F4ACA">
            <w:pPr>
              <w:rPr>
                <w:sz w:val="22"/>
                <w:szCs w:val="22"/>
              </w:rPr>
            </w:pPr>
          </w:p>
        </w:tc>
        <w:tc>
          <w:tcPr>
            <w:tcW w:w="1666" w:type="dxa"/>
            <w:noWrap/>
            <w:vAlign w:val="center"/>
          </w:tcPr>
          <w:p w:rsidR="005B690D" w:rsidRPr="0048723C" w:rsidRDefault="005B690D" w:rsidP="006F4ACA">
            <w:pPr>
              <w:jc w:val="center"/>
              <w:rPr>
                <w:sz w:val="22"/>
                <w:szCs w:val="22"/>
              </w:rPr>
            </w:pPr>
          </w:p>
        </w:tc>
        <w:tc>
          <w:tcPr>
            <w:tcW w:w="1594" w:type="dxa"/>
            <w:noWrap/>
            <w:vAlign w:val="center"/>
          </w:tcPr>
          <w:p w:rsidR="005B690D" w:rsidRPr="0048723C" w:rsidRDefault="005B690D" w:rsidP="006F4ACA">
            <w:pPr>
              <w:jc w:val="center"/>
              <w:rPr>
                <w:sz w:val="22"/>
                <w:szCs w:val="22"/>
              </w:rPr>
            </w:pPr>
          </w:p>
        </w:tc>
        <w:tc>
          <w:tcPr>
            <w:tcW w:w="1670" w:type="dxa"/>
            <w:vAlign w:val="center"/>
          </w:tcPr>
          <w:p w:rsidR="005B690D" w:rsidRPr="0048723C" w:rsidRDefault="005B690D" w:rsidP="006F4ACA">
            <w:pPr>
              <w:jc w:val="center"/>
              <w:rPr>
                <w:sz w:val="22"/>
                <w:szCs w:val="22"/>
              </w:rPr>
            </w:pPr>
          </w:p>
        </w:tc>
      </w:tr>
      <w:tr w:rsidR="005B690D" w:rsidRPr="0048723C" w:rsidTr="006F4ACA">
        <w:trPr>
          <w:trHeight w:val="774"/>
        </w:trPr>
        <w:tc>
          <w:tcPr>
            <w:tcW w:w="600" w:type="dxa"/>
            <w:noWrap/>
            <w:vAlign w:val="bottom"/>
          </w:tcPr>
          <w:p w:rsidR="005B690D" w:rsidRPr="0048723C" w:rsidRDefault="005B690D" w:rsidP="006F4ACA">
            <w:pPr>
              <w:jc w:val="center"/>
              <w:rPr>
                <w:sz w:val="22"/>
                <w:szCs w:val="22"/>
              </w:rPr>
            </w:pPr>
            <w:r>
              <w:rPr>
                <w:sz w:val="22"/>
                <w:szCs w:val="22"/>
              </w:rPr>
              <w:t>2</w:t>
            </w:r>
            <w:r w:rsidRPr="0048723C">
              <w:rPr>
                <w:sz w:val="22"/>
                <w:szCs w:val="22"/>
              </w:rPr>
              <w:t>.</w:t>
            </w:r>
          </w:p>
        </w:tc>
        <w:tc>
          <w:tcPr>
            <w:tcW w:w="3888" w:type="dxa"/>
            <w:vAlign w:val="bottom"/>
          </w:tcPr>
          <w:p w:rsidR="005B690D" w:rsidRPr="0048723C" w:rsidRDefault="005B690D" w:rsidP="006F4ACA">
            <w:pPr>
              <w:rPr>
                <w:sz w:val="22"/>
                <w:szCs w:val="22"/>
              </w:rPr>
            </w:pPr>
            <w:r w:rsidRPr="0048723C">
              <w:rPr>
                <w:sz w:val="22"/>
                <w:szCs w:val="22"/>
              </w:rPr>
              <w:t>налог на прибыль от КГН, доходы от уплаты акцизов на крепкий алкоголь (с 01.01.2017), доходы от уплаты акцизов на нефтепродукты</w:t>
            </w:r>
          </w:p>
        </w:tc>
        <w:tc>
          <w:tcPr>
            <w:tcW w:w="637" w:type="dxa"/>
            <w:vAlign w:val="center"/>
          </w:tcPr>
          <w:p w:rsidR="005B690D" w:rsidRPr="0048723C" w:rsidRDefault="005B690D" w:rsidP="006F4ACA">
            <w:pPr>
              <w:jc w:val="right"/>
              <w:rPr>
                <w:sz w:val="22"/>
                <w:szCs w:val="22"/>
              </w:rPr>
            </w:pPr>
            <w:r w:rsidRPr="0048723C">
              <w:rPr>
                <w:bCs/>
                <w:sz w:val="22"/>
                <w:szCs w:val="22"/>
              </w:rPr>
              <w:t>тыс. руб</w:t>
            </w:r>
            <w:r w:rsidRPr="0048723C">
              <w:rPr>
                <w:b/>
                <w:bCs/>
                <w:sz w:val="22"/>
                <w:szCs w:val="22"/>
              </w:rPr>
              <w:t>.</w:t>
            </w:r>
          </w:p>
        </w:tc>
        <w:tc>
          <w:tcPr>
            <w:tcW w:w="1666" w:type="dxa"/>
            <w:noWrap/>
            <w:vAlign w:val="center"/>
          </w:tcPr>
          <w:p w:rsidR="005B690D" w:rsidRPr="0048723C" w:rsidRDefault="005B690D" w:rsidP="006F4ACA">
            <w:pPr>
              <w:jc w:val="center"/>
              <w:rPr>
                <w:sz w:val="22"/>
                <w:szCs w:val="22"/>
              </w:rPr>
            </w:pPr>
            <w:r w:rsidRPr="0048723C">
              <w:rPr>
                <w:sz w:val="22"/>
                <w:szCs w:val="22"/>
              </w:rPr>
              <w:t>9 686 434, 4</w:t>
            </w:r>
          </w:p>
        </w:tc>
        <w:tc>
          <w:tcPr>
            <w:tcW w:w="1594" w:type="dxa"/>
            <w:noWrap/>
            <w:vAlign w:val="center"/>
          </w:tcPr>
          <w:p w:rsidR="005B690D" w:rsidRPr="0048723C" w:rsidRDefault="005B690D" w:rsidP="006F4ACA">
            <w:pPr>
              <w:jc w:val="center"/>
              <w:rPr>
                <w:sz w:val="22"/>
                <w:szCs w:val="22"/>
              </w:rPr>
            </w:pPr>
            <w:r w:rsidRPr="0048723C">
              <w:rPr>
                <w:sz w:val="22"/>
                <w:szCs w:val="22"/>
              </w:rPr>
              <w:t>8 034 128,6</w:t>
            </w:r>
          </w:p>
        </w:tc>
        <w:tc>
          <w:tcPr>
            <w:tcW w:w="1670" w:type="dxa"/>
            <w:vAlign w:val="center"/>
          </w:tcPr>
          <w:p w:rsidR="005B690D" w:rsidRPr="0048723C" w:rsidRDefault="005B690D" w:rsidP="006F4ACA">
            <w:pPr>
              <w:jc w:val="center"/>
              <w:rPr>
                <w:sz w:val="22"/>
                <w:szCs w:val="22"/>
              </w:rPr>
            </w:pPr>
            <w:r w:rsidRPr="0048723C">
              <w:rPr>
                <w:sz w:val="22"/>
                <w:szCs w:val="22"/>
              </w:rPr>
              <w:t>7 716 501,1</w:t>
            </w:r>
          </w:p>
        </w:tc>
      </w:tr>
      <w:tr w:rsidR="005B690D" w:rsidRPr="0048723C" w:rsidTr="006F4ACA">
        <w:trPr>
          <w:trHeight w:val="1032"/>
        </w:trPr>
        <w:tc>
          <w:tcPr>
            <w:tcW w:w="600" w:type="dxa"/>
            <w:noWrap/>
            <w:vAlign w:val="bottom"/>
          </w:tcPr>
          <w:p w:rsidR="005B690D" w:rsidRPr="0048723C" w:rsidRDefault="005B690D" w:rsidP="006F4ACA">
            <w:pPr>
              <w:jc w:val="center"/>
              <w:rPr>
                <w:sz w:val="22"/>
                <w:szCs w:val="22"/>
              </w:rPr>
            </w:pPr>
            <w:r>
              <w:rPr>
                <w:sz w:val="22"/>
                <w:szCs w:val="22"/>
              </w:rPr>
              <w:t>3</w:t>
            </w:r>
            <w:r w:rsidRPr="0048723C">
              <w:rPr>
                <w:sz w:val="22"/>
                <w:szCs w:val="22"/>
              </w:rPr>
              <w:t>.</w:t>
            </w:r>
          </w:p>
        </w:tc>
        <w:tc>
          <w:tcPr>
            <w:tcW w:w="3888" w:type="dxa"/>
            <w:vAlign w:val="bottom"/>
          </w:tcPr>
          <w:p w:rsidR="005B690D" w:rsidRPr="0048723C" w:rsidRDefault="005B690D" w:rsidP="006F4ACA">
            <w:pPr>
              <w:rPr>
                <w:sz w:val="22"/>
                <w:szCs w:val="22"/>
              </w:rPr>
            </w:pPr>
            <w:r w:rsidRPr="0048723C">
              <w:rPr>
                <w:sz w:val="22"/>
                <w:szCs w:val="22"/>
              </w:rPr>
              <w:t xml:space="preserve">Оценка влияния КГН и </w:t>
            </w:r>
            <w:r w:rsidRPr="00FA2FEA">
              <w:rPr>
                <w:sz w:val="22"/>
                <w:szCs w:val="22"/>
              </w:rPr>
              <w:t xml:space="preserve">налогоплательщиков доходов от уплаты акцизов на крепкий алкоголь (с 01.01.2017), доходов от уплаты акцизов на нефтепродукты в формировании </w:t>
            </w:r>
            <w:r>
              <w:rPr>
                <w:sz w:val="22"/>
                <w:szCs w:val="22"/>
              </w:rPr>
              <w:t xml:space="preserve">налоговых </w:t>
            </w:r>
            <w:r w:rsidRPr="00FA2FEA">
              <w:rPr>
                <w:sz w:val="22"/>
                <w:szCs w:val="22"/>
              </w:rPr>
              <w:t>доходов</w:t>
            </w:r>
            <w:r w:rsidRPr="0048723C">
              <w:rPr>
                <w:sz w:val="22"/>
                <w:szCs w:val="22"/>
              </w:rPr>
              <w:t xml:space="preserve"> консолидированного бюджета Тверской области</w:t>
            </w:r>
          </w:p>
        </w:tc>
        <w:tc>
          <w:tcPr>
            <w:tcW w:w="637" w:type="dxa"/>
            <w:vAlign w:val="center"/>
          </w:tcPr>
          <w:p w:rsidR="005B690D" w:rsidRPr="0048723C" w:rsidRDefault="005B690D" w:rsidP="006F4ACA">
            <w:pPr>
              <w:jc w:val="center"/>
              <w:rPr>
                <w:sz w:val="22"/>
                <w:szCs w:val="22"/>
              </w:rPr>
            </w:pPr>
            <w:r w:rsidRPr="0048723C">
              <w:rPr>
                <w:sz w:val="22"/>
                <w:szCs w:val="22"/>
              </w:rPr>
              <w:t>%</w:t>
            </w:r>
          </w:p>
        </w:tc>
        <w:tc>
          <w:tcPr>
            <w:tcW w:w="1666" w:type="dxa"/>
            <w:noWrap/>
            <w:vAlign w:val="center"/>
          </w:tcPr>
          <w:p w:rsidR="005B690D" w:rsidRPr="0048723C" w:rsidRDefault="005B690D" w:rsidP="006F4ACA">
            <w:pPr>
              <w:jc w:val="center"/>
              <w:rPr>
                <w:sz w:val="22"/>
                <w:szCs w:val="22"/>
              </w:rPr>
            </w:pPr>
            <w:r w:rsidRPr="0048723C">
              <w:rPr>
                <w:sz w:val="22"/>
                <w:szCs w:val="22"/>
              </w:rPr>
              <w:t>21</w:t>
            </w:r>
          </w:p>
        </w:tc>
        <w:tc>
          <w:tcPr>
            <w:tcW w:w="1594" w:type="dxa"/>
            <w:noWrap/>
            <w:vAlign w:val="center"/>
          </w:tcPr>
          <w:p w:rsidR="005B690D" w:rsidRPr="0048723C" w:rsidRDefault="005B690D" w:rsidP="006F4ACA">
            <w:pPr>
              <w:jc w:val="center"/>
              <w:rPr>
                <w:sz w:val="22"/>
                <w:szCs w:val="22"/>
              </w:rPr>
            </w:pPr>
            <w:r>
              <w:rPr>
                <w:sz w:val="22"/>
                <w:szCs w:val="22"/>
              </w:rPr>
              <w:t>17</w:t>
            </w:r>
          </w:p>
        </w:tc>
        <w:tc>
          <w:tcPr>
            <w:tcW w:w="1670" w:type="dxa"/>
            <w:vAlign w:val="center"/>
          </w:tcPr>
          <w:p w:rsidR="005B690D" w:rsidRPr="0048723C" w:rsidRDefault="005B690D" w:rsidP="006F4ACA">
            <w:pPr>
              <w:jc w:val="center"/>
              <w:rPr>
                <w:sz w:val="22"/>
                <w:szCs w:val="22"/>
              </w:rPr>
            </w:pPr>
            <w:r>
              <w:rPr>
                <w:sz w:val="22"/>
                <w:szCs w:val="22"/>
              </w:rPr>
              <w:t>16</w:t>
            </w:r>
          </w:p>
        </w:tc>
      </w:tr>
    </w:tbl>
    <w:p w:rsidR="005B690D" w:rsidRPr="0048723C" w:rsidRDefault="005B690D" w:rsidP="005B690D">
      <w:pPr>
        <w:ind w:firstLine="720"/>
        <w:jc w:val="center"/>
        <w:rPr>
          <w:color w:val="1A1A1A"/>
          <w:sz w:val="24"/>
          <w:szCs w:val="24"/>
          <w:shd w:val="clear" w:color="auto" w:fill="FFFFFF"/>
        </w:rPr>
      </w:pPr>
    </w:p>
    <w:p w:rsidR="005B690D" w:rsidRPr="0048723C" w:rsidRDefault="005B690D" w:rsidP="005B690D">
      <w:pPr>
        <w:ind w:firstLine="709"/>
        <w:jc w:val="both"/>
        <w:rPr>
          <w:szCs w:val="28"/>
        </w:rPr>
      </w:pPr>
      <w:r w:rsidRPr="00FA2FEA">
        <w:rPr>
          <w:szCs w:val="28"/>
        </w:rPr>
        <w:t>Как видно из таблицы 1, доля централизации доходов от плательщиков Российской Федерации снижается, что говорит о росте поступлений от самостоятельных плательщиков Тверской области и развитии экономического потенциала Тверской области.</w:t>
      </w:r>
    </w:p>
    <w:p w:rsidR="005B690D" w:rsidRPr="0048723C" w:rsidRDefault="005B690D" w:rsidP="005B690D">
      <w:pPr>
        <w:ind w:left="49"/>
        <w:jc w:val="both"/>
        <w:rPr>
          <w:szCs w:val="28"/>
        </w:rPr>
      </w:pPr>
    </w:p>
    <w:p w:rsidR="005B690D" w:rsidRPr="0048723C" w:rsidRDefault="005B690D" w:rsidP="005B690D">
      <w:pPr>
        <w:ind w:left="49" w:firstLine="660"/>
        <w:jc w:val="both"/>
        <w:rPr>
          <w:b/>
          <w:bCs/>
          <w:szCs w:val="28"/>
        </w:rPr>
      </w:pPr>
      <w:r w:rsidRPr="0048723C">
        <w:rPr>
          <w:b/>
          <w:bCs/>
          <w:szCs w:val="28"/>
        </w:rPr>
        <w:t>1.2. Итоги функционирования консолидированных групп налогоплательщиков в 2013 – 201</w:t>
      </w:r>
      <w:r>
        <w:rPr>
          <w:b/>
          <w:bCs/>
          <w:szCs w:val="28"/>
        </w:rPr>
        <w:t>7</w:t>
      </w:r>
      <w:r w:rsidRPr="0048723C">
        <w:rPr>
          <w:b/>
          <w:bCs/>
          <w:szCs w:val="28"/>
        </w:rPr>
        <w:t xml:space="preserve"> годах</w:t>
      </w:r>
    </w:p>
    <w:p w:rsidR="005B690D" w:rsidRPr="0048723C" w:rsidRDefault="005B690D" w:rsidP="005B690D">
      <w:pPr>
        <w:ind w:left="49"/>
        <w:rPr>
          <w:b/>
          <w:bCs/>
          <w:sz w:val="18"/>
          <w:szCs w:val="18"/>
        </w:rPr>
      </w:pPr>
    </w:p>
    <w:p w:rsidR="005B690D" w:rsidRPr="0048723C" w:rsidRDefault="005B690D" w:rsidP="005B690D">
      <w:pPr>
        <w:autoSpaceDE w:val="0"/>
        <w:autoSpaceDN w:val="0"/>
        <w:adjustRightInd w:val="0"/>
        <w:ind w:firstLine="709"/>
        <w:jc w:val="both"/>
        <w:rPr>
          <w:szCs w:val="28"/>
        </w:rPr>
      </w:pPr>
      <w:r w:rsidRPr="0048723C">
        <w:rPr>
          <w:szCs w:val="28"/>
        </w:rPr>
        <w:t>C 2012 года в налоговом законодательстве появилось новое понятие - консолидированная группа налогоплательщиков.</w:t>
      </w:r>
    </w:p>
    <w:p w:rsidR="005B690D" w:rsidRDefault="005B690D" w:rsidP="005B690D">
      <w:pPr>
        <w:autoSpaceDE w:val="0"/>
        <w:autoSpaceDN w:val="0"/>
        <w:adjustRightInd w:val="0"/>
        <w:ind w:firstLine="709"/>
        <w:jc w:val="both"/>
        <w:rPr>
          <w:szCs w:val="28"/>
        </w:rPr>
      </w:pPr>
      <w:r w:rsidRPr="0048723C">
        <w:rPr>
          <w:szCs w:val="28"/>
        </w:rPr>
        <w:t>В соответствии со статьей 25.1 «Общие положения о консолидированной группе налогоплательщиков» НК РФ КГН признается добровольное объединение налогоплательщиков налога на прибыль организаций на основе договора о создании КГН в порядке и на условиях, которые предусмотрены НК РФ,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w:t>
      </w:r>
      <w:r>
        <w:rPr>
          <w:szCs w:val="28"/>
        </w:rPr>
        <w:t>.</w:t>
      </w:r>
    </w:p>
    <w:p w:rsidR="005B690D" w:rsidRPr="0048723C" w:rsidRDefault="005B690D" w:rsidP="005B690D">
      <w:pPr>
        <w:autoSpaceDE w:val="0"/>
        <w:autoSpaceDN w:val="0"/>
        <w:adjustRightInd w:val="0"/>
        <w:ind w:firstLine="709"/>
        <w:jc w:val="both"/>
        <w:rPr>
          <w:szCs w:val="28"/>
        </w:rPr>
      </w:pPr>
      <w:r w:rsidRPr="0048723C">
        <w:rPr>
          <w:szCs w:val="28"/>
        </w:rPr>
        <w:t>По состоянию на 01.01.2018 года на территории Тверской области налог на прибыль организаций уплачивается 9 ответственными участниками консолидированных групп налогоплательщиков (ОАО» Сургутнефтегаз», ПАО «Лукойл», ПАО «АК «Транснефть», АО «Мегафон – Интернэшнл», ПАО «Газпром», АО «Атомэнергопром», ПАО «Северсталь», ПАО НК «Роснефть» и АО «Торговый дом «Перекресток»), включающими 28 участников консолидированных групп налогоплательщиков.</w:t>
      </w:r>
    </w:p>
    <w:p w:rsidR="005B690D" w:rsidRPr="0048723C" w:rsidRDefault="005B690D" w:rsidP="005B690D">
      <w:pPr>
        <w:ind w:firstLine="709"/>
        <w:jc w:val="both"/>
        <w:rPr>
          <w:szCs w:val="28"/>
        </w:rPr>
      </w:pPr>
      <w:r>
        <w:rPr>
          <w:szCs w:val="28"/>
        </w:rPr>
        <w:t>Нестабильность п</w:t>
      </w:r>
      <w:r w:rsidRPr="0048723C">
        <w:rPr>
          <w:szCs w:val="28"/>
        </w:rPr>
        <w:t>оступления налога на прибыль организаций</w:t>
      </w:r>
      <w:r>
        <w:rPr>
          <w:szCs w:val="28"/>
        </w:rPr>
        <w:t xml:space="preserve"> от </w:t>
      </w:r>
      <w:r w:rsidRPr="0048723C">
        <w:rPr>
          <w:szCs w:val="28"/>
        </w:rPr>
        <w:t>КГН</w:t>
      </w:r>
      <w:r>
        <w:rPr>
          <w:szCs w:val="28"/>
        </w:rPr>
        <w:t xml:space="preserve"> снижает точность прогнозирования по данному налогу. Так доля поступления налога на прибыль организаций в</w:t>
      </w:r>
      <w:r w:rsidRPr="0048723C">
        <w:rPr>
          <w:szCs w:val="28"/>
        </w:rPr>
        <w:t xml:space="preserve"> 2012 год</w:t>
      </w:r>
      <w:r>
        <w:rPr>
          <w:szCs w:val="28"/>
        </w:rPr>
        <w:t>у</w:t>
      </w:r>
      <w:r w:rsidRPr="0048723C">
        <w:rPr>
          <w:szCs w:val="28"/>
        </w:rPr>
        <w:t xml:space="preserve"> на 17,5 %, в 2013 году на 29,7 %, в 2014 году на </w:t>
      </w:r>
      <w:r w:rsidRPr="0048723C">
        <w:rPr>
          <w:szCs w:val="28"/>
        </w:rPr>
        <w:lastRenderedPageBreak/>
        <w:t>38,2 %, в 2015 году на 55,9 %, в 2016 году на 32%, в 2017 году на 30,2%</w:t>
      </w:r>
      <w:r>
        <w:rPr>
          <w:szCs w:val="28"/>
        </w:rPr>
        <w:t xml:space="preserve"> состоит из поступлений налога на прибыль организаций от КГН</w:t>
      </w:r>
      <w:r w:rsidRPr="0048723C">
        <w:rPr>
          <w:szCs w:val="28"/>
        </w:rPr>
        <w:t xml:space="preserve">. </w:t>
      </w:r>
      <w:r>
        <w:rPr>
          <w:szCs w:val="28"/>
        </w:rPr>
        <w:t>В 2015 году резкий рост доли объясняется реализацией участниками КГН товаров на экспорт и резко возросшим курсом рубля по отношению к доллару.</w:t>
      </w:r>
    </w:p>
    <w:p w:rsidR="005B690D" w:rsidRPr="0048723C" w:rsidRDefault="005B690D" w:rsidP="005B690D">
      <w:pPr>
        <w:autoSpaceDE w:val="0"/>
        <w:autoSpaceDN w:val="0"/>
        <w:adjustRightInd w:val="0"/>
        <w:ind w:firstLine="709"/>
        <w:jc w:val="both"/>
        <w:rPr>
          <w:szCs w:val="28"/>
        </w:rPr>
      </w:pPr>
      <w:r w:rsidRPr="0048723C">
        <w:rPr>
          <w:szCs w:val="28"/>
        </w:rPr>
        <w:t xml:space="preserve">Изменение в 2017 году ставки налога на прибыль организаций к перечислению в региональный бюджет с 18% до 17% повлияло на снижение </w:t>
      </w:r>
      <w:r>
        <w:rPr>
          <w:szCs w:val="28"/>
        </w:rPr>
        <w:t xml:space="preserve">поступления </w:t>
      </w:r>
      <w:r w:rsidRPr="0048723C">
        <w:rPr>
          <w:szCs w:val="28"/>
        </w:rPr>
        <w:t xml:space="preserve">налога на прибыль организаций </w:t>
      </w:r>
      <w:r>
        <w:rPr>
          <w:szCs w:val="28"/>
        </w:rPr>
        <w:t xml:space="preserve">от </w:t>
      </w:r>
      <w:r w:rsidRPr="0048723C">
        <w:rPr>
          <w:szCs w:val="28"/>
        </w:rPr>
        <w:t xml:space="preserve">КГН, зачисляемого в бюджеты субъектов Российской Федерации </w:t>
      </w:r>
      <w:r>
        <w:rPr>
          <w:szCs w:val="28"/>
        </w:rPr>
        <w:t>за</w:t>
      </w:r>
      <w:r w:rsidRPr="0048723C">
        <w:rPr>
          <w:szCs w:val="28"/>
        </w:rPr>
        <w:t xml:space="preserve"> 2017 год</w:t>
      </w:r>
      <w:r>
        <w:rPr>
          <w:szCs w:val="28"/>
        </w:rPr>
        <w:t>,</w:t>
      </w:r>
      <w:r w:rsidRPr="0048723C">
        <w:rPr>
          <w:szCs w:val="28"/>
        </w:rPr>
        <w:t xml:space="preserve"> в размере более 189 млн рублей (факт налога на прибыль организаций КГН, зачисляемого в бюджеты субъектов Российской Федерации за 2017 год</w:t>
      </w:r>
      <w:r>
        <w:rPr>
          <w:szCs w:val="28"/>
        </w:rPr>
        <w:t xml:space="preserve"> составляет</w:t>
      </w:r>
      <w:r w:rsidRPr="0048723C">
        <w:rPr>
          <w:szCs w:val="28"/>
        </w:rPr>
        <w:t xml:space="preserve"> 3 218 275 тыс. руб.).</w:t>
      </w:r>
    </w:p>
    <w:p w:rsidR="005B690D" w:rsidRPr="0048723C" w:rsidRDefault="005B690D" w:rsidP="005B690D">
      <w:pPr>
        <w:autoSpaceDE w:val="0"/>
        <w:autoSpaceDN w:val="0"/>
        <w:adjustRightInd w:val="0"/>
        <w:ind w:firstLine="709"/>
        <w:jc w:val="both"/>
        <w:rPr>
          <w:szCs w:val="28"/>
        </w:rPr>
      </w:pPr>
      <w:r w:rsidRPr="0048723C">
        <w:rPr>
          <w:szCs w:val="28"/>
        </w:rPr>
        <w:t>Согласно положениям статьи 288 НК РФ на величину налога на прибыль организаций, подлежащего зачислению в бюджет конкретного субъекта Российской Федерации, оказывают влияние следующие показатели:</w:t>
      </w:r>
    </w:p>
    <w:p w:rsidR="005B690D" w:rsidRPr="0048723C" w:rsidRDefault="005B690D" w:rsidP="005B690D">
      <w:pPr>
        <w:autoSpaceDE w:val="0"/>
        <w:autoSpaceDN w:val="0"/>
        <w:adjustRightInd w:val="0"/>
        <w:ind w:firstLine="709"/>
        <w:jc w:val="both"/>
        <w:rPr>
          <w:szCs w:val="28"/>
        </w:rPr>
      </w:pPr>
      <w:r w:rsidRPr="0048723C">
        <w:rPr>
          <w:szCs w:val="28"/>
        </w:rPr>
        <w:t>- совокупный размер прибыли КГН, рассчитанный исходя из фактических результатов деятельности участников КГН;</w:t>
      </w:r>
    </w:p>
    <w:p w:rsidR="005B690D" w:rsidRPr="0048723C" w:rsidRDefault="005B690D" w:rsidP="005B690D">
      <w:pPr>
        <w:autoSpaceDE w:val="0"/>
        <w:autoSpaceDN w:val="0"/>
        <w:adjustRightInd w:val="0"/>
        <w:ind w:firstLine="709"/>
        <w:jc w:val="both"/>
        <w:rPr>
          <w:szCs w:val="28"/>
        </w:rPr>
      </w:pPr>
      <w:r w:rsidRPr="0048723C">
        <w:rPr>
          <w:szCs w:val="28"/>
        </w:rPr>
        <w:t>- среднесписочная численность работников (расходы на оплату труда) участника КГН или его обособленного подразделения, расположенного на территории субъекта;</w:t>
      </w:r>
    </w:p>
    <w:p w:rsidR="005B690D" w:rsidRPr="0048723C" w:rsidRDefault="005B690D" w:rsidP="005B690D">
      <w:pPr>
        <w:autoSpaceDE w:val="0"/>
        <w:autoSpaceDN w:val="0"/>
        <w:adjustRightInd w:val="0"/>
        <w:ind w:firstLine="709"/>
        <w:jc w:val="both"/>
        <w:rPr>
          <w:szCs w:val="28"/>
        </w:rPr>
      </w:pPr>
      <w:r w:rsidRPr="0048723C">
        <w:rPr>
          <w:szCs w:val="28"/>
        </w:rPr>
        <w:t>- остаточная стоимость амортизируемого имущества участника КГН или его обособленного подразделения, расположенного на территории субъекта.</w:t>
      </w:r>
    </w:p>
    <w:p w:rsidR="005B690D" w:rsidRPr="0048723C" w:rsidRDefault="005B690D" w:rsidP="005B690D">
      <w:pPr>
        <w:ind w:firstLine="720"/>
        <w:jc w:val="both"/>
        <w:rPr>
          <w:color w:val="1A1A1A"/>
          <w:szCs w:val="28"/>
          <w:shd w:val="clear" w:color="auto" w:fill="FFFFFF"/>
        </w:rPr>
      </w:pPr>
      <w:r w:rsidRPr="0048723C">
        <w:rPr>
          <w:color w:val="1A1A1A"/>
          <w:szCs w:val="28"/>
          <w:shd w:val="clear" w:color="auto" w:fill="FFFFFF"/>
        </w:rPr>
        <w:t xml:space="preserve">Распределение налога осуществляется вне зависимости от результатов финансово-хозяйственной деятельности конкретных налогоплательщиков. Поэтому результатом перераспределения налога на прибыль может быть, как снижение его поступлений в региональный бюджет, так и увеличение. </w:t>
      </w:r>
    </w:p>
    <w:p w:rsidR="005B690D" w:rsidRPr="0048723C" w:rsidRDefault="005B690D" w:rsidP="005B690D">
      <w:pPr>
        <w:autoSpaceDE w:val="0"/>
        <w:autoSpaceDN w:val="0"/>
        <w:adjustRightInd w:val="0"/>
        <w:ind w:firstLine="709"/>
        <w:jc w:val="both"/>
        <w:outlineLvl w:val="0"/>
        <w:rPr>
          <w:szCs w:val="28"/>
        </w:rPr>
      </w:pPr>
      <w:r w:rsidRPr="0048723C">
        <w:rPr>
          <w:szCs w:val="28"/>
        </w:rPr>
        <w:t>Существенным недостатком действующего режима КГН является сложность прогнозирования бюджетных доходов на уровне отдельного субъекта Российской Федерации, а также возможность непрогнозируемого снижения доходов бюджета субъекта Российской Федерации, в котором расположены прибыльные предприятия, в случае получения крупных убытков налогоплательщиками в других регионах.</w:t>
      </w:r>
    </w:p>
    <w:p w:rsidR="005B690D" w:rsidRPr="0048723C" w:rsidRDefault="005B690D" w:rsidP="005B690D">
      <w:pPr>
        <w:autoSpaceDE w:val="0"/>
        <w:autoSpaceDN w:val="0"/>
        <w:adjustRightInd w:val="0"/>
        <w:ind w:firstLine="709"/>
        <w:jc w:val="both"/>
        <w:outlineLvl w:val="0"/>
        <w:rPr>
          <w:szCs w:val="28"/>
        </w:rPr>
      </w:pPr>
      <w:r w:rsidRPr="0048723C">
        <w:rPr>
          <w:szCs w:val="28"/>
        </w:rPr>
        <w:t>С другой стороны, более быстрое принятие убытков убыточных участников КГН за счет уменьшения прибыли прибыльных участников при прочих равных условиях позволит в более короткие сроки увеличить доходы от налога на прибыль в тех регионах, где расположены убыточные налогоплательщики.</w:t>
      </w:r>
    </w:p>
    <w:p w:rsidR="005B690D" w:rsidRPr="0048723C" w:rsidRDefault="005B690D" w:rsidP="005B690D">
      <w:pPr>
        <w:autoSpaceDE w:val="0"/>
        <w:autoSpaceDN w:val="0"/>
        <w:adjustRightInd w:val="0"/>
        <w:ind w:firstLine="709"/>
        <w:jc w:val="both"/>
        <w:outlineLvl w:val="0"/>
        <w:rPr>
          <w:szCs w:val="28"/>
        </w:rPr>
      </w:pPr>
      <w:r w:rsidRPr="00FA2FEA">
        <w:rPr>
          <w:szCs w:val="28"/>
        </w:rPr>
        <w:t>Следует отметить, что с 1 января 2015 года и до конца 2017 года налоговыми органами приостановлена регистрация договоров о создании новых КГН. В рамках совершенствования функционирования института КГН на уровне Правительства Российской Федерации в 2018 году рассматривается вопрос о дальнейшем запрете на создание новых КГН.</w:t>
      </w:r>
    </w:p>
    <w:p w:rsidR="005B690D" w:rsidRPr="006432C2" w:rsidRDefault="005B690D" w:rsidP="005B690D">
      <w:pPr>
        <w:autoSpaceDE w:val="0"/>
        <w:autoSpaceDN w:val="0"/>
        <w:adjustRightInd w:val="0"/>
        <w:ind w:firstLine="709"/>
        <w:jc w:val="both"/>
        <w:outlineLvl w:val="0"/>
        <w:rPr>
          <w:b/>
          <w:szCs w:val="28"/>
        </w:rPr>
      </w:pPr>
    </w:p>
    <w:p w:rsidR="005B690D" w:rsidRPr="006432C2" w:rsidRDefault="005B690D" w:rsidP="005B690D">
      <w:pPr>
        <w:autoSpaceDE w:val="0"/>
        <w:autoSpaceDN w:val="0"/>
        <w:adjustRightInd w:val="0"/>
        <w:ind w:firstLine="709"/>
        <w:jc w:val="both"/>
        <w:outlineLvl w:val="0"/>
        <w:rPr>
          <w:b/>
          <w:szCs w:val="28"/>
        </w:rPr>
      </w:pPr>
      <w:r w:rsidRPr="006432C2">
        <w:rPr>
          <w:b/>
          <w:szCs w:val="28"/>
        </w:rPr>
        <w:t>1.3. Анализ «налоговых расходов» и налоговых льгот консолидированного бюджета Тверской области</w:t>
      </w:r>
    </w:p>
    <w:p w:rsidR="005B690D" w:rsidRPr="006432C2" w:rsidRDefault="005B690D" w:rsidP="005B690D">
      <w:pPr>
        <w:autoSpaceDE w:val="0"/>
        <w:autoSpaceDN w:val="0"/>
        <w:adjustRightInd w:val="0"/>
        <w:ind w:firstLine="709"/>
        <w:jc w:val="center"/>
        <w:outlineLvl w:val="0"/>
        <w:rPr>
          <w:b/>
          <w:szCs w:val="28"/>
        </w:rPr>
      </w:pPr>
    </w:p>
    <w:p w:rsidR="005B690D" w:rsidRDefault="005B690D" w:rsidP="005B690D">
      <w:pPr>
        <w:autoSpaceDE w:val="0"/>
        <w:autoSpaceDN w:val="0"/>
        <w:adjustRightInd w:val="0"/>
        <w:ind w:firstLine="709"/>
        <w:jc w:val="both"/>
        <w:outlineLvl w:val="0"/>
        <w:rPr>
          <w:szCs w:val="28"/>
        </w:rPr>
      </w:pPr>
      <w:r w:rsidRPr="006432C2">
        <w:rPr>
          <w:szCs w:val="28"/>
        </w:rPr>
        <w:t xml:space="preserve">Налоговыми расходами являются выпадающие доходы консолидированного бюджета Тверской области, обусловленные применением налоговых льгот, пониженных ставок и иных инструментов (преференций), установленных законодательством о налогах и сборах (таблица 2). </w:t>
      </w:r>
    </w:p>
    <w:p w:rsidR="00AC42DB" w:rsidRDefault="00AC42DB" w:rsidP="005B690D">
      <w:pPr>
        <w:autoSpaceDE w:val="0"/>
        <w:autoSpaceDN w:val="0"/>
        <w:adjustRightInd w:val="0"/>
        <w:ind w:firstLine="709"/>
        <w:jc w:val="right"/>
        <w:outlineLvl w:val="0"/>
        <w:rPr>
          <w:sz w:val="24"/>
          <w:szCs w:val="24"/>
        </w:rPr>
      </w:pPr>
    </w:p>
    <w:p w:rsidR="005B690D" w:rsidRPr="006432C2" w:rsidRDefault="005B690D" w:rsidP="005B690D">
      <w:pPr>
        <w:autoSpaceDE w:val="0"/>
        <w:autoSpaceDN w:val="0"/>
        <w:adjustRightInd w:val="0"/>
        <w:ind w:firstLine="709"/>
        <w:jc w:val="right"/>
        <w:outlineLvl w:val="0"/>
        <w:rPr>
          <w:sz w:val="24"/>
          <w:szCs w:val="24"/>
        </w:rPr>
      </w:pPr>
      <w:r w:rsidRPr="006432C2">
        <w:rPr>
          <w:sz w:val="24"/>
          <w:szCs w:val="24"/>
        </w:rPr>
        <w:lastRenderedPageBreak/>
        <w:t>Таблица № 2</w:t>
      </w:r>
    </w:p>
    <w:p w:rsidR="005B690D" w:rsidRPr="00427521" w:rsidRDefault="005B690D" w:rsidP="005B690D">
      <w:pPr>
        <w:autoSpaceDE w:val="0"/>
        <w:autoSpaceDN w:val="0"/>
        <w:adjustRightInd w:val="0"/>
        <w:ind w:firstLine="709"/>
        <w:jc w:val="center"/>
        <w:outlineLvl w:val="0"/>
        <w:rPr>
          <w:szCs w:val="28"/>
        </w:rPr>
      </w:pPr>
      <w:r w:rsidRPr="00427521">
        <w:rPr>
          <w:szCs w:val="28"/>
        </w:rPr>
        <w:t>Налоговые расходы консолидированного бюджета Тверской области по видам налоговых доходов</w:t>
      </w:r>
    </w:p>
    <w:p w:rsidR="005B690D" w:rsidRPr="006432C2" w:rsidRDefault="005B690D" w:rsidP="005B690D">
      <w:pPr>
        <w:autoSpaceDE w:val="0"/>
        <w:autoSpaceDN w:val="0"/>
        <w:adjustRightInd w:val="0"/>
        <w:ind w:firstLine="709"/>
        <w:jc w:val="right"/>
        <w:outlineLvl w:val="0"/>
        <w:rPr>
          <w:sz w:val="24"/>
          <w:szCs w:val="24"/>
        </w:rPr>
      </w:pPr>
      <w:r w:rsidRPr="006432C2">
        <w:rPr>
          <w:sz w:val="24"/>
          <w:szCs w:val="24"/>
        </w:rPr>
        <w:t>тыс. руб.</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6"/>
        <w:gridCol w:w="1276"/>
        <w:gridCol w:w="1134"/>
        <w:gridCol w:w="1134"/>
        <w:gridCol w:w="1134"/>
        <w:gridCol w:w="1134"/>
      </w:tblGrid>
      <w:tr w:rsidR="005B690D" w:rsidRPr="006432C2" w:rsidTr="006F4ACA">
        <w:trPr>
          <w:trHeight w:val="620"/>
        </w:trPr>
        <w:tc>
          <w:tcPr>
            <w:tcW w:w="4366" w:type="dxa"/>
            <w:noWrap/>
            <w:vAlign w:val="center"/>
          </w:tcPr>
          <w:p w:rsidR="005B690D" w:rsidRPr="006432C2" w:rsidRDefault="005B690D" w:rsidP="006F4ACA">
            <w:pPr>
              <w:jc w:val="center"/>
              <w:rPr>
                <w:color w:val="000000"/>
                <w:sz w:val="20"/>
              </w:rPr>
            </w:pPr>
            <w:r w:rsidRPr="006432C2">
              <w:rPr>
                <w:color w:val="000000"/>
                <w:sz w:val="20"/>
              </w:rPr>
              <w:t>Наименование налога</w:t>
            </w:r>
          </w:p>
        </w:tc>
        <w:tc>
          <w:tcPr>
            <w:tcW w:w="1276" w:type="dxa"/>
            <w:vAlign w:val="center"/>
          </w:tcPr>
          <w:p w:rsidR="005B690D" w:rsidRPr="006432C2" w:rsidRDefault="005B690D" w:rsidP="006F4ACA">
            <w:pPr>
              <w:jc w:val="center"/>
              <w:rPr>
                <w:color w:val="000000"/>
                <w:sz w:val="18"/>
                <w:szCs w:val="18"/>
              </w:rPr>
            </w:pPr>
            <w:r w:rsidRPr="006432C2">
              <w:rPr>
                <w:color w:val="000000"/>
                <w:sz w:val="18"/>
                <w:szCs w:val="18"/>
              </w:rPr>
              <w:t>2013 год факт</w:t>
            </w:r>
          </w:p>
        </w:tc>
        <w:tc>
          <w:tcPr>
            <w:tcW w:w="1134" w:type="dxa"/>
            <w:vAlign w:val="center"/>
          </w:tcPr>
          <w:p w:rsidR="005B690D" w:rsidRPr="006432C2" w:rsidRDefault="005B690D" w:rsidP="006F4ACA">
            <w:pPr>
              <w:jc w:val="center"/>
              <w:rPr>
                <w:color w:val="000000"/>
                <w:sz w:val="18"/>
                <w:szCs w:val="18"/>
              </w:rPr>
            </w:pPr>
            <w:r w:rsidRPr="006432C2">
              <w:rPr>
                <w:color w:val="000000"/>
                <w:sz w:val="18"/>
                <w:szCs w:val="18"/>
              </w:rPr>
              <w:t xml:space="preserve">2014 год </w:t>
            </w:r>
          </w:p>
          <w:p w:rsidR="005B690D" w:rsidRPr="006432C2" w:rsidRDefault="005B690D" w:rsidP="006F4ACA">
            <w:pPr>
              <w:jc w:val="center"/>
              <w:rPr>
                <w:color w:val="000000"/>
                <w:sz w:val="18"/>
                <w:szCs w:val="18"/>
              </w:rPr>
            </w:pPr>
            <w:r w:rsidRPr="006432C2">
              <w:rPr>
                <w:color w:val="000000"/>
                <w:sz w:val="18"/>
                <w:szCs w:val="18"/>
              </w:rPr>
              <w:t>факт</w:t>
            </w:r>
          </w:p>
        </w:tc>
        <w:tc>
          <w:tcPr>
            <w:tcW w:w="1134" w:type="dxa"/>
            <w:vAlign w:val="center"/>
          </w:tcPr>
          <w:p w:rsidR="005B690D" w:rsidRPr="006432C2" w:rsidRDefault="005B690D" w:rsidP="006F4ACA">
            <w:pPr>
              <w:jc w:val="center"/>
              <w:rPr>
                <w:color w:val="000000"/>
                <w:sz w:val="18"/>
                <w:szCs w:val="18"/>
              </w:rPr>
            </w:pPr>
            <w:r w:rsidRPr="006432C2">
              <w:rPr>
                <w:color w:val="000000"/>
                <w:sz w:val="18"/>
                <w:szCs w:val="18"/>
              </w:rPr>
              <w:t>2015 год факт</w:t>
            </w:r>
          </w:p>
        </w:tc>
        <w:tc>
          <w:tcPr>
            <w:tcW w:w="1134" w:type="dxa"/>
            <w:vAlign w:val="center"/>
          </w:tcPr>
          <w:p w:rsidR="005B690D" w:rsidRPr="006432C2" w:rsidRDefault="005B690D" w:rsidP="006F4ACA">
            <w:pPr>
              <w:jc w:val="center"/>
              <w:rPr>
                <w:color w:val="000000"/>
                <w:sz w:val="18"/>
                <w:szCs w:val="18"/>
              </w:rPr>
            </w:pPr>
            <w:r w:rsidRPr="006432C2">
              <w:rPr>
                <w:color w:val="000000"/>
                <w:sz w:val="18"/>
                <w:szCs w:val="18"/>
              </w:rPr>
              <w:t>201</w:t>
            </w:r>
            <w:r w:rsidRPr="006432C2">
              <w:rPr>
                <w:color w:val="000000"/>
                <w:sz w:val="18"/>
                <w:szCs w:val="18"/>
                <w:lang w:val="en-US"/>
              </w:rPr>
              <w:t>6</w:t>
            </w:r>
            <w:r w:rsidRPr="006432C2">
              <w:rPr>
                <w:color w:val="000000"/>
                <w:sz w:val="18"/>
                <w:szCs w:val="18"/>
              </w:rPr>
              <w:t xml:space="preserve"> год факт</w:t>
            </w:r>
          </w:p>
        </w:tc>
        <w:tc>
          <w:tcPr>
            <w:tcW w:w="1134" w:type="dxa"/>
          </w:tcPr>
          <w:p w:rsidR="005B690D" w:rsidRPr="006432C2" w:rsidRDefault="005B690D" w:rsidP="006F4ACA">
            <w:pPr>
              <w:jc w:val="center"/>
              <w:rPr>
                <w:color w:val="000000"/>
                <w:sz w:val="18"/>
                <w:szCs w:val="18"/>
              </w:rPr>
            </w:pPr>
            <w:r w:rsidRPr="006432C2">
              <w:rPr>
                <w:color w:val="000000"/>
                <w:sz w:val="18"/>
                <w:szCs w:val="18"/>
              </w:rPr>
              <w:t>2017 год факт</w:t>
            </w:r>
          </w:p>
        </w:tc>
      </w:tr>
      <w:tr w:rsidR="005B690D" w:rsidRPr="006432C2" w:rsidTr="006F4ACA">
        <w:trPr>
          <w:trHeight w:val="300"/>
        </w:trPr>
        <w:tc>
          <w:tcPr>
            <w:tcW w:w="4366" w:type="dxa"/>
            <w:noWrap/>
            <w:vAlign w:val="bottom"/>
          </w:tcPr>
          <w:p w:rsidR="005B690D" w:rsidRPr="006432C2" w:rsidRDefault="005B690D" w:rsidP="006F4ACA">
            <w:pPr>
              <w:rPr>
                <w:b/>
                <w:bCs/>
                <w:sz w:val="20"/>
              </w:rPr>
            </w:pPr>
            <w:r w:rsidRPr="006432C2">
              <w:rPr>
                <w:b/>
                <w:bCs/>
                <w:sz w:val="20"/>
              </w:rPr>
              <w:t>Всего «налоговых расходов» консолидированного бюджета Тверской области</w:t>
            </w:r>
          </w:p>
        </w:tc>
        <w:tc>
          <w:tcPr>
            <w:tcW w:w="1276" w:type="dxa"/>
            <w:noWrap/>
            <w:vAlign w:val="bottom"/>
          </w:tcPr>
          <w:p w:rsidR="005B690D" w:rsidRPr="006432C2" w:rsidRDefault="005B690D" w:rsidP="006F4ACA">
            <w:pPr>
              <w:jc w:val="center"/>
              <w:rPr>
                <w:b/>
                <w:bCs/>
                <w:sz w:val="20"/>
              </w:rPr>
            </w:pPr>
            <w:r w:rsidRPr="006432C2">
              <w:rPr>
                <w:b/>
                <w:bCs/>
                <w:sz w:val="20"/>
              </w:rPr>
              <w:t>4 200 714</w:t>
            </w:r>
          </w:p>
        </w:tc>
        <w:tc>
          <w:tcPr>
            <w:tcW w:w="1134" w:type="dxa"/>
            <w:noWrap/>
            <w:vAlign w:val="bottom"/>
          </w:tcPr>
          <w:p w:rsidR="005B690D" w:rsidRPr="006432C2" w:rsidRDefault="005B690D" w:rsidP="006F4ACA">
            <w:pPr>
              <w:jc w:val="center"/>
              <w:rPr>
                <w:b/>
                <w:bCs/>
                <w:sz w:val="20"/>
              </w:rPr>
            </w:pPr>
            <w:r w:rsidRPr="006432C2">
              <w:rPr>
                <w:b/>
                <w:bCs/>
                <w:sz w:val="20"/>
              </w:rPr>
              <w:t>4 300 572</w:t>
            </w:r>
          </w:p>
        </w:tc>
        <w:tc>
          <w:tcPr>
            <w:tcW w:w="1134" w:type="dxa"/>
            <w:noWrap/>
            <w:vAlign w:val="bottom"/>
          </w:tcPr>
          <w:p w:rsidR="005B690D" w:rsidRPr="006432C2" w:rsidRDefault="005B690D" w:rsidP="006F4ACA">
            <w:pPr>
              <w:jc w:val="center"/>
              <w:rPr>
                <w:b/>
                <w:bCs/>
                <w:sz w:val="20"/>
                <w:lang w:val="en-US"/>
              </w:rPr>
            </w:pPr>
            <w:r w:rsidRPr="006432C2">
              <w:rPr>
                <w:b/>
                <w:bCs/>
                <w:sz w:val="20"/>
                <w:lang w:val="en-US"/>
              </w:rPr>
              <w:t>4 614 780</w:t>
            </w:r>
          </w:p>
        </w:tc>
        <w:tc>
          <w:tcPr>
            <w:tcW w:w="1134" w:type="dxa"/>
          </w:tcPr>
          <w:p w:rsidR="005B690D" w:rsidRPr="006432C2" w:rsidRDefault="005B690D" w:rsidP="006F4ACA">
            <w:pPr>
              <w:jc w:val="center"/>
              <w:rPr>
                <w:b/>
                <w:bCs/>
                <w:sz w:val="20"/>
                <w:lang w:val="en-US"/>
              </w:rPr>
            </w:pPr>
          </w:p>
          <w:p w:rsidR="005B690D" w:rsidRPr="006432C2" w:rsidRDefault="005B690D" w:rsidP="006F4ACA">
            <w:pPr>
              <w:jc w:val="center"/>
              <w:rPr>
                <w:b/>
                <w:bCs/>
                <w:sz w:val="20"/>
                <w:lang w:val="en-US"/>
              </w:rPr>
            </w:pPr>
          </w:p>
          <w:p w:rsidR="005B690D" w:rsidRPr="006432C2" w:rsidRDefault="005B690D" w:rsidP="006F4ACA">
            <w:pPr>
              <w:jc w:val="center"/>
              <w:rPr>
                <w:b/>
                <w:bCs/>
                <w:sz w:val="20"/>
              </w:rPr>
            </w:pPr>
            <w:r w:rsidRPr="006432C2">
              <w:rPr>
                <w:b/>
                <w:bCs/>
                <w:sz w:val="20"/>
              </w:rPr>
              <w:t>4 866 202</w:t>
            </w:r>
          </w:p>
        </w:tc>
        <w:tc>
          <w:tcPr>
            <w:tcW w:w="1134" w:type="dxa"/>
          </w:tcPr>
          <w:p w:rsidR="005B690D" w:rsidRPr="006432C2" w:rsidRDefault="005B690D" w:rsidP="006F4ACA">
            <w:pPr>
              <w:jc w:val="center"/>
              <w:rPr>
                <w:b/>
                <w:bCs/>
                <w:sz w:val="20"/>
              </w:rPr>
            </w:pPr>
          </w:p>
          <w:p w:rsidR="005B690D" w:rsidRDefault="005B690D" w:rsidP="006F4ACA">
            <w:pPr>
              <w:jc w:val="center"/>
              <w:rPr>
                <w:b/>
                <w:bCs/>
                <w:sz w:val="20"/>
              </w:rPr>
            </w:pPr>
          </w:p>
          <w:p w:rsidR="005B690D" w:rsidRPr="00AC42DB" w:rsidRDefault="005B690D" w:rsidP="006F4ACA">
            <w:pPr>
              <w:jc w:val="center"/>
              <w:rPr>
                <w:b/>
                <w:bCs/>
                <w:sz w:val="20"/>
              </w:rPr>
            </w:pPr>
            <w:r w:rsidRPr="006432C2">
              <w:rPr>
                <w:b/>
                <w:bCs/>
                <w:sz w:val="20"/>
              </w:rPr>
              <w:t>5</w:t>
            </w:r>
            <w:r>
              <w:rPr>
                <w:b/>
                <w:bCs/>
                <w:sz w:val="20"/>
              </w:rPr>
              <w:t> </w:t>
            </w:r>
            <w:r>
              <w:rPr>
                <w:b/>
                <w:bCs/>
                <w:sz w:val="20"/>
                <w:lang w:val="en-US"/>
              </w:rPr>
              <w:t>331</w:t>
            </w:r>
            <w:r w:rsidR="00AC42DB">
              <w:rPr>
                <w:b/>
                <w:bCs/>
                <w:sz w:val="20"/>
                <w:lang w:val="en-US"/>
              </w:rPr>
              <w:t> </w:t>
            </w:r>
            <w:r>
              <w:rPr>
                <w:b/>
                <w:bCs/>
                <w:sz w:val="20"/>
                <w:lang w:val="en-US"/>
              </w:rPr>
              <w:t>948</w:t>
            </w:r>
          </w:p>
        </w:tc>
      </w:tr>
      <w:tr w:rsidR="005B690D" w:rsidRPr="006432C2" w:rsidTr="006F4ACA">
        <w:trPr>
          <w:trHeight w:val="557"/>
        </w:trPr>
        <w:tc>
          <w:tcPr>
            <w:tcW w:w="4366" w:type="dxa"/>
            <w:vAlign w:val="bottom"/>
          </w:tcPr>
          <w:p w:rsidR="005B690D" w:rsidRPr="006432C2" w:rsidRDefault="005B690D" w:rsidP="006F4ACA">
            <w:pPr>
              <w:jc w:val="center"/>
              <w:rPr>
                <w:iCs/>
                <w:sz w:val="20"/>
              </w:rPr>
            </w:pPr>
            <w:r w:rsidRPr="006432C2">
              <w:rPr>
                <w:iCs/>
                <w:sz w:val="20"/>
              </w:rPr>
              <w:t>удельный вес в налоговых и неналоговых доходах консолидированного бюджета,%</w:t>
            </w:r>
          </w:p>
        </w:tc>
        <w:tc>
          <w:tcPr>
            <w:tcW w:w="1276" w:type="dxa"/>
            <w:noWrap/>
            <w:vAlign w:val="bottom"/>
          </w:tcPr>
          <w:p w:rsidR="005B690D" w:rsidRPr="006432C2" w:rsidRDefault="005B690D" w:rsidP="006F4ACA">
            <w:pPr>
              <w:jc w:val="center"/>
              <w:rPr>
                <w:iCs/>
                <w:sz w:val="20"/>
              </w:rPr>
            </w:pPr>
            <w:r w:rsidRPr="006432C2">
              <w:rPr>
                <w:iCs/>
                <w:sz w:val="20"/>
              </w:rPr>
              <w:t>9,0</w:t>
            </w:r>
          </w:p>
        </w:tc>
        <w:tc>
          <w:tcPr>
            <w:tcW w:w="1134" w:type="dxa"/>
            <w:noWrap/>
            <w:vAlign w:val="bottom"/>
          </w:tcPr>
          <w:p w:rsidR="005B690D" w:rsidRPr="006432C2" w:rsidRDefault="005B690D" w:rsidP="006F4ACA">
            <w:pPr>
              <w:jc w:val="center"/>
              <w:rPr>
                <w:iCs/>
                <w:sz w:val="20"/>
              </w:rPr>
            </w:pPr>
            <w:r w:rsidRPr="006432C2">
              <w:rPr>
                <w:iCs/>
                <w:sz w:val="20"/>
              </w:rPr>
              <w:t>9,9</w:t>
            </w:r>
          </w:p>
        </w:tc>
        <w:tc>
          <w:tcPr>
            <w:tcW w:w="1134" w:type="dxa"/>
            <w:noWrap/>
            <w:vAlign w:val="bottom"/>
          </w:tcPr>
          <w:p w:rsidR="005B690D" w:rsidRPr="006432C2" w:rsidRDefault="005B690D" w:rsidP="006F4ACA">
            <w:pPr>
              <w:jc w:val="center"/>
              <w:rPr>
                <w:iCs/>
                <w:sz w:val="20"/>
              </w:rPr>
            </w:pPr>
            <w:r w:rsidRPr="006432C2">
              <w:rPr>
                <w:iCs/>
                <w:sz w:val="20"/>
              </w:rPr>
              <w:t>9,1</w:t>
            </w:r>
          </w:p>
        </w:tc>
        <w:tc>
          <w:tcPr>
            <w:tcW w:w="1134" w:type="dxa"/>
          </w:tcPr>
          <w:p w:rsidR="005B690D" w:rsidRPr="006432C2" w:rsidRDefault="005B690D" w:rsidP="006F4ACA">
            <w:pPr>
              <w:jc w:val="center"/>
              <w:rPr>
                <w:iCs/>
                <w:sz w:val="20"/>
              </w:rPr>
            </w:pPr>
          </w:p>
          <w:p w:rsidR="005B690D" w:rsidRPr="006432C2" w:rsidRDefault="005B690D" w:rsidP="006F4ACA">
            <w:pPr>
              <w:jc w:val="center"/>
              <w:rPr>
                <w:iCs/>
                <w:sz w:val="20"/>
              </w:rPr>
            </w:pPr>
          </w:p>
          <w:p w:rsidR="005B690D" w:rsidRPr="006432C2" w:rsidRDefault="005B690D" w:rsidP="006F4ACA">
            <w:pPr>
              <w:jc w:val="center"/>
              <w:rPr>
                <w:iCs/>
                <w:sz w:val="20"/>
              </w:rPr>
            </w:pPr>
            <w:r w:rsidRPr="006432C2">
              <w:rPr>
                <w:iCs/>
                <w:sz w:val="20"/>
              </w:rPr>
              <w:t>9,3</w:t>
            </w:r>
          </w:p>
        </w:tc>
        <w:tc>
          <w:tcPr>
            <w:tcW w:w="1134" w:type="dxa"/>
          </w:tcPr>
          <w:p w:rsidR="005B690D" w:rsidRPr="006432C2" w:rsidRDefault="005B690D" w:rsidP="006F4ACA">
            <w:pPr>
              <w:jc w:val="center"/>
              <w:rPr>
                <w:iCs/>
                <w:sz w:val="20"/>
              </w:rPr>
            </w:pPr>
          </w:p>
          <w:p w:rsidR="005B690D" w:rsidRPr="006432C2" w:rsidRDefault="005B690D" w:rsidP="006F4ACA">
            <w:pPr>
              <w:jc w:val="center"/>
              <w:rPr>
                <w:iCs/>
                <w:sz w:val="20"/>
              </w:rPr>
            </w:pPr>
          </w:p>
          <w:p w:rsidR="005B690D" w:rsidRPr="003F4CD9" w:rsidRDefault="005B690D" w:rsidP="006F4ACA">
            <w:pPr>
              <w:jc w:val="center"/>
              <w:rPr>
                <w:iCs/>
                <w:sz w:val="20"/>
                <w:lang w:val="en-US"/>
              </w:rPr>
            </w:pPr>
            <w:r w:rsidRPr="006432C2">
              <w:rPr>
                <w:iCs/>
                <w:sz w:val="20"/>
              </w:rPr>
              <w:t>9,</w:t>
            </w:r>
            <w:r>
              <w:rPr>
                <w:iCs/>
                <w:sz w:val="20"/>
                <w:lang w:val="en-US"/>
              </w:rPr>
              <w:t>8</w:t>
            </w:r>
          </w:p>
        </w:tc>
      </w:tr>
    </w:tbl>
    <w:p w:rsidR="005B690D" w:rsidRPr="006432C2" w:rsidRDefault="005B690D" w:rsidP="005B690D">
      <w:pPr>
        <w:tabs>
          <w:tab w:val="left" w:pos="6007"/>
        </w:tabs>
        <w:autoSpaceDE w:val="0"/>
        <w:autoSpaceDN w:val="0"/>
        <w:adjustRightInd w:val="0"/>
        <w:ind w:left="360"/>
        <w:jc w:val="both"/>
        <w:outlineLvl w:val="0"/>
        <w:rPr>
          <w:sz w:val="24"/>
          <w:szCs w:val="24"/>
        </w:rPr>
      </w:pPr>
      <w:r w:rsidRPr="006432C2">
        <w:rPr>
          <w:sz w:val="24"/>
          <w:szCs w:val="24"/>
        </w:rPr>
        <w:tab/>
      </w:r>
    </w:p>
    <w:p w:rsidR="005B690D" w:rsidRPr="006432C2" w:rsidRDefault="005B690D" w:rsidP="005B690D">
      <w:pPr>
        <w:tabs>
          <w:tab w:val="left" w:pos="6007"/>
        </w:tabs>
        <w:autoSpaceDE w:val="0"/>
        <w:autoSpaceDN w:val="0"/>
        <w:adjustRightInd w:val="0"/>
        <w:ind w:left="360"/>
        <w:jc w:val="both"/>
        <w:outlineLvl w:val="0"/>
        <w:rPr>
          <w:sz w:val="24"/>
          <w:szCs w:val="24"/>
        </w:rPr>
      </w:pPr>
    </w:p>
    <w:p w:rsidR="005B690D" w:rsidRPr="006432C2" w:rsidRDefault="005B690D" w:rsidP="005B690D">
      <w:pPr>
        <w:tabs>
          <w:tab w:val="left" w:pos="851"/>
        </w:tabs>
        <w:autoSpaceDE w:val="0"/>
        <w:autoSpaceDN w:val="0"/>
        <w:adjustRightInd w:val="0"/>
        <w:ind w:firstLine="709"/>
        <w:jc w:val="both"/>
        <w:outlineLvl w:val="0"/>
        <w:rPr>
          <w:szCs w:val="28"/>
        </w:rPr>
      </w:pPr>
      <w:r w:rsidRPr="006432C2">
        <w:rPr>
          <w:szCs w:val="28"/>
        </w:rPr>
        <w:t>Налоговые расходы консолидированного бюджета Тверской области за 2017 год составили 5</w:t>
      </w:r>
      <w:r>
        <w:rPr>
          <w:szCs w:val="28"/>
        </w:rPr>
        <w:t> </w:t>
      </w:r>
      <w:r w:rsidRPr="007200AF">
        <w:rPr>
          <w:szCs w:val="28"/>
        </w:rPr>
        <w:t>331 94</w:t>
      </w:r>
      <w:r w:rsidRPr="004F0EE4">
        <w:rPr>
          <w:szCs w:val="28"/>
        </w:rPr>
        <w:t>8</w:t>
      </w:r>
      <w:r w:rsidRPr="006432C2">
        <w:rPr>
          <w:szCs w:val="28"/>
        </w:rPr>
        <w:t xml:space="preserve"> тыс. руб. в том числе:</w:t>
      </w:r>
    </w:p>
    <w:p w:rsidR="005B690D" w:rsidRPr="006432C2" w:rsidRDefault="005B690D" w:rsidP="005B690D">
      <w:pPr>
        <w:tabs>
          <w:tab w:val="left" w:pos="851"/>
        </w:tabs>
        <w:autoSpaceDE w:val="0"/>
        <w:autoSpaceDN w:val="0"/>
        <w:adjustRightInd w:val="0"/>
        <w:ind w:firstLine="709"/>
        <w:jc w:val="both"/>
        <w:outlineLvl w:val="0"/>
        <w:rPr>
          <w:szCs w:val="28"/>
        </w:rPr>
      </w:pPr>
      <w:r w:rsidRPr="006432C2">
        <w:rPr>
          <w:szCs w:val="28"/>
        </w:rPr>
        <w:t>- льготы</w:t>
      </w:r>
      <w:r>
        <w:rPr>
          <w:szCs w:val="28"/>
        </w:rPr>
        <w:t xml:space="preserve"> </w:t>
      </w:r>
      <w:r w:rsidRPr="00FA2FEA">
        <w:rPr>
          <w:szCs w:val="28"/>
        </w:rPr>
        <w:t>(пониженные налоговые ставки), установленные</w:t>
      </w:r>
      <w:r w:rsidRPr="006432C2">
        <w:rPr>
          <w:szCs w:val="28"/>
        </w:rPr>
        <w:t xml:space="preserve"> федеральным законодательством </w:t>
      </w:r>
      <w:r w:rsidRPr="007200AF">
        <w:rPr>
          <w:szCs w:val="28"/>
        </w:rPr>
        <w:t>4</w:t>
      </w:r>
      <w:r>
        <w:rPr>
          <w:szCs w:val="28"/>
          <w:lang w:val="en-US"/>
        </w:rPr>
        <w:t> </w:t>
      </w:r>
      <w:r w:rsidRPr="007200AF">
        <w:rPr>
          <w:szCs w:val="28"/>
        </w:rPr>
        <w:t>152</w:t>
      </w:r>
      <w:r>
        <w:rPr>
          <w:szCs w:val="28"/>
          <w:lang w:val="en-US"/>
        </w:rPr>
        <w:t> </w:t>
      </w:r>
      <w:r w:rsidRPr="007200AF">
        <w:rPr>
          <w:szCs w:val="28"/>
        </w:rPr>
        <w:t xml:space="preserve">482 </w:t>
      </w:r>
      <w:r w:rsidRPr="006432C2">
        <w:rPr>
          <w:szCs w:val="28"/>
        </w:rPr>
        <w:t>тыс. руб. или 77,</w:t>
      </w:r>
      <w:r w:rsidRPr="007200AF">
        <w:rPr>
          <w:szCs w:val="28"/>
        </w:rPr>
        <w:t>9</w:t>
      </w:r>
      <w:r w:rsidRPr="006432C2">
        <w:rPr>
          <w:szCs w:val="28"/>
        </w:rPr>
        <w:t xml:space="preserve"> %;</w:t>
      </w:r>
    </w:p>
    <w:p w:rsidR="005B690D" w:rsidRPr="006432C2" w:rsidRDefault="005B690D" w:rsidP="005B690D">
      <w:pPr>
        <w:tabs>
          <w:tab w:val="left" w:pos="851"/>
        </w:tabs>
        <w:autoSpaceDE w:val="0"/>
        <w:autoSpaceDN w:val="0"/>
        <w:adjustRightInd w:val="0"/>
        <w:ind w:firstLine="709"/>
        <w:jc w:val="both"/>
        <w:outlineLvl w:val="0"/>
        <w:rPr>
          <w:szCs w:val="28"/>
        </w:rPr>
      </w:pPr>
      <w:r w:rsidRPr="006432C2">
        <w:rPr>
          <w:szCs w:val="28"/>
        </w:rPr>
        <w:t xml:space="preserve">- льготы, установленные региональным законодательством 805 065 тыс. руб. или </w:t>
      </w:r>
      <w:r>
        <w:rPr>
          <w:szCs w:val="28"/>
        </w:rPr>
        <w:t>15,</w:t>
      </w:r>
      <w:r w:rsidRPr="000E51B5">
        <w:rPr>
          <w:szCs w:val="28"/>
        </w:rPr>
        <w:t>1</w:t>
      </w:r>
      <w:r w:rsidRPr="006432C2">
        <w:rPr>
          <w:szCs w:val="28"/>
        </w:rPr>
        <w:t xml:space="preserve"> %;</w:t>
      </w:r>
    </w:p>
    <w:p w:rsidR="005B690D" w:rsidRPr="006432C2" w:rsidRDefault="005B690D" w:rsidP="005B690D">
      <w:pPr>
        <w:tabs>
          <w:tab w:val="left" w:pos="851"/>
        </w:tabs>
        <w:autoSpaceDE w:val="0"/>
        <w:autoSpaceDN w:val="0"/>
        <w:adjustRightInd w:val="0"/>
        <w:ind w:firstLine="709"/>
        <w:jc w:val="both"/>
        <w:outlineLvl w:val="0"/>
        <w:rPr>
          <w:szCs w:val="28"/>
        </w:rPr>
      </w:pPr>
      <w:r w:rsidRPr="006432C2">
        <w:rPr>
          <w:szCs w:val="28"/>
        </w:rPr>
        <w:t xml:space="preserve"> - льготы, установленные нормативными правовыми актами органов местного самоуправления Тверской области </w:t>
      </w:r>
      <w:r w:rsidRPr="007200AF">
        <w:rPr>
          <w:szCs w:val="28"/>
        </w:rPr>
        <w:t>374 401</w:t>
      </w:r>
      <w:r w:rsidRPr="006432C2">
        <w:rPr>
          <w:szCs w:val="28"/>
        </w:rPr>
        <w:t xml:space="preserve"> тыс. руб. </w:t>
      </w:r>
      <w:r>
        <w:rPr>
          <w:szCs w:val="28"/>
        </w:rPr>
        <w:t xml:space="preserve">или </w:t>
      </w:r>
      <w:r w:rsidRPr="006432C2">
        <w:rPr>
          <w:szCs w:val="28"/>
        </w:rPr>
        <w:t>7,</w:t>
      </w:r>
      <w:r w:rsidRPr="007200AF">
        <w:rPr>
          <w:szCs w:val="28"/>
        </w:rPr>
        <w:t>0</w:t>
      </w:r>
      <w:r w:rsidRPr="006432C2">
        <w:rPr>
          <w:szCs w:val="28"/>
        </w:rPr>
        <w:t xml:space="preserve"> %.</w:t>
      </w:r>
    </w:p>
    <w:p w:rsidR="005B690D" w:rsidRPr="006432C2" w:rsidRDefault="005B690D" w:rsidP="005B690D">
      <w:pPr>
        <w:autoSpaceDE w:val="0"/>
        <w:autoSpaceDN w:val="0"/>
        <w:adjustRightInd w:val="0"/>
        <w:ind w:firstLine="709"/>
        <w:jc w:val="both"/>
        <w:rPr>
          <w:szCs w:val="28"/>
        </w:rPr>
      </w:pPr>
      <w:r w:rsidRPr="006432C2">
        <w:rPr>
          <w:szCs w:val="28"/>
        </w:rPr>
        <w:t xml:space="preserve">Наиболее крупными «налоговыми расходами» консолидированного бюджета Тверской области по льготам, установленным </w:t>
      </w:r>
      <w:r w:rsidRPr="00727758">
        <w:rPr>
          <w:szCs w:val="28"/>
        </w:rPr>
        <w:t xml:space="preserve">на </w:t>
      </w:r>
      <w:r w:rsidRPr="00914157">
        <w:rPr>
          <w:b/>
          <w:szCs w:val="28"/>
        </w:rPr>
        <w:t>федеральном уровне</w:t>
      </w:r>
      <w:r w:rsidRPr="00914157">
        <w:rPr>
          <w:szCs w:val="28"/>
        </w:rPr>
        <w:t xml:space="preserve"> (</w:t>
      </w:r>
      <w:r w:rsidRPr="000E51B5">
        <w:rPr>
          <w:szCs w:val="28"/>
        </w:rPr>
        <w:t>4</w:t>
      </w:r>
      <w:r>
        <w:rPr>
          <w:szCs w:val="28"/>
          <w:lang w:val="en-US"/>
        </w:rPr>
        <w:t> </w:t>
      </w:r>
      <w:r w:rsidRPr="000E51B5">
        <w:rPr>
          <w:szCs w:val="28"/>
        </w:rPr>
        <w:t>152 482</w:t>
      </w:r>
      <w:r>
        <w:rPr>
          <w:szCs w:val="28"/>
        </w:rPr>
        <w:t xml:space="preserve"> тыс. руб.)</w:t>
      </w:r>
      <w:r w:rsidRPr="006432C2">
        <w:rPr>
          <w:szCs w:val="28"/>
        </w:rPr>
        <w:t xml:space="preserve">, являются: </w:t>
      </w:r>
    </w:p>
    <w:p w:rsidR="005B690D" w:rsidRPr="00914157" w:rsidRDefault="005B690D" w:rsidP="005B690D">
      <w:pPr>
        <w:autoSpaceDE w:val="0"/>
        <w:autoSpaceDN w:val="0"/>
        <w:adjustRightInd w:val="0"/>
        <w:ind w:firstLine="709"/>
        <w:jc w:val="both"/>
        <w:rPr>
          <w:szCs w:val="28"/>
        </w:rPr>
      </w:pPr>
      <w:r w:rsidRPr="00914157">
        <w:rPr>
          <w:szCs w:val="28"/>
        </w:rPr>
        <w:t>1</w:t>
      </w:r>
      <w:r>
        <w:rPr>
          <w:szCs w:val="28"/>
        </w:rPr>
        <w:t>)</w:t>
      </w:r>
      <w:r w:rsidRPr="00914157">
        <w:rPr>
          <w:szCs w:val="28"/>
        </w:rPr>
        <w:t xml:space="preserve"> </w:t>
      </w:r>
      <w:r>
        <w:rPr>
          <w:szCs w:val="28"/>
        </w:rPr>
        <w:t>п</w:t>
      </w:r>
      <w:r w:rsidRPr="00914157">
        <w:rPr>
          <w:szCs w:val="28"/>
        </w:rPr>
        <w:t>о налогу на имущество организаций</w:t>
      </w:r>
      <w:r w:rsidRPr="000E51B5">
        <w:rPr>
          <w:szCs w:val="28"/>
        </w:rPr>
        <w:t xml:space="preserve"> </w:t>
      </w:r>
      <w:r>
        <w:rPr>
          <w:szCs w:val="28"/>
        </w:rPr>
        <w:t>(</w:t>
      </w:r>
      <w:r w:rsidRPr="000E51B5">
        <w:rPr>
          <w:szCs w:val="28"/>
        </w:rPr>
        <w:t>2</w:t>
      </w:r>
      <w:r>
        <w:rPr>
          <w:szCs w:val="28"/>
          <w:lang w:val="en-US"/>
        </w:rPr>
        <w:t> </w:t>
      </w:r>
      <w:r w:rsidRPr="000E51B5">
        <w:rPr>
          <w:szCs w:val="28"/>
        </w:rPr>
        <w:t>412</w:t>
      </w:r>
      <w:r>
        <w:rPr>
          <w:szCs w:val="28"/>
          <w:lang w:val="en-US"/>
        </w:rPr>
        <w:t> </w:t>
      </w:r>
      <w:r w:rsidRPr="000E51B5">
        <w:rPr>
          <w:szCs w:val="28"/>
        </w:rPr>
        <w:t xml:space="preserve">109 </w:t>
      </w:r>
      <w:r>
        <w:rPr>
          <w:szCs w:val="28"/>
        </w:rPr>
        <w:t>тыс. руб.):</w:t>
      </w:r>
    </w:p>
    <w:p w:rsidR="005B690D" w:rsidRPr="006432C2" w:rsidRDefault="005B690D" w:rsidP="005B690D">
      <w:pPr>
        <w:autoSpaceDE w:val="0"/>
        <w:autoSpaceDN w:val="0"/>
        <w:adjustRightInd w:val="0"/>
        <w:ind w:firstLine="709"/>
        <w:jc w:val="both"/>
        <w:rPr>
          <w:szCs w:val="28"/>
        </w:rPr>
      </w:pPr>
      <w:r w:rsidRPr="006432C2">
        <w:rPr>
          <w:szCs w:val="28"/>
        </w:rPr>
        <w:t>- льгота в отношении движимого имущества, принятого с 1 января 2013 года на учет в качестве основных средств в виде полного его освобождения. Налоговые расходы 1 049 867 тыс. руб.</w:t>
      </w:r>
    </w:p>
    <w:p w:rsidR="005B690D" w:rsidRPr="008D2C9D" w:rsidRDefault="005B690D" w:rsidP="005B690D">
      <w:pPr>
        <w:autoSpaceDE w:val="0"/>
        <w:autoSpaceDN w:val="0"/>
        <w:adjustRightInd w:val="0"/>
        <w:ind w:firstLine="709"/>
        <w:jc w:val="both"/>
        <w:rPr>
          <w:szCs w:val="28"/>
        </w:rPr>
      </w:pPr>
      <w:r w:rsidRPr="006432C2">
        <w:rPr>
          <w:szCs w:val="28"/>
        </w:rPr>
        <w:t xml:space="preserve"> - льгота по инфраструктурным объектам (железнодорожным путям общего пользования, магистральным трубопроводам, линиям электропередачи, а также сооружениям, являющихся неотъемлемой частью указанных объектов), до 2013 года в виде полного освобождения от уплаты налога, с 2013 года в виде льготных ставок. Налоговые расходы 2017 года 846 831 тыс. руб.</w:t>
      </w:r>
      <w:r>
        <w:rPr>
          <w:szCs w:val="28"/>
        </w:rPr>
        <w:t xml:space="preserve"> (рассчетно)</w:t>
      </w:r>
      <w:r w:rsidRPr="006432C2">
        <w:rPr>
          <w:szCs w:val="28"/>
        </w:rPr>
        <w:t>;</w:t>
      </w:r>
    </w:p>
    <w:p w:rsidR="005B690D" w:rsidRDefault="005B690D" w:rsidP="005B690D">
      <w:pPr>
        <w:autoSpaceDE w:val="0"/>
        <w:autoSpaceDN w:val="0"/>
        <w:adjustRightInd w:val="0"/>
        <w:ind w:firstLine="709"/>
        <w:jc w:val="both"/>
        <w:rPr>
          <w:szCs w:val="28"/>
        </w:rPr>
      </w:pPr>
      <w:r w:rsidRPr="006E530B">
        <w:rPr>
          <w:szCs w:val="28"/>
        </w:rPr>
        <w:t xml:space="preserve">- </w:t>
      </w:r>
      <w:r>
        <w:rPr>
          <w:szCs w:val="28"/>
        </w:rPr>
        <w:t>льгота в отношении федеральных автомобильных дорог общего пользования, а также сооружений, являющихся неотъемлемой технологической частью указанных объектов  484 075 тыс. руб.</w:t>
      </w:r>
    </w:p>
    <w:p w:rsidR="005B690D" w:rsidRPr="006E530B" w:rsidRDefault="005B690D" w:rsidP="005B690D">
      <w:pPr>
        <w:autoSpaceDE w:val="0"/>
        <w:autoSpaceDN w:val="0"/>
        <w:adjustRightInd w:val="0"/>
        <w:ind w:firstLine="709"/>
        <w:jc w:val="both"/>
        <w:rPr>
          <w:szCs w:val="28"/>
        </w:rPr>
      </w:pPr>
      <w:r>
        <w:rPr>
          <w:szCs w:val="28"/>
        </w:rPr>
        <w:t>- остальные 31 336 тыс. руб.</w:t>
      </w:r>
    </w:p>
    <w:p w:rsidR="005B690D" w:rsidRPr="00914157" w:rsidRDefault="005B690D" w:rsidP="005B690D">
      <w:pPr>
        <w:autoSpaceDE w:val="0"/>
        <w:autoSpaceDN w:val="0"/>
        <w:adjustRightInd w:val="0"/>
        <w:ind w:firstLine="709"/>
        <w:jc w:val="both"/>
        <w:rPr>
          <w:szCs w:val="28"/>
        </w:rPr>
      </w:pPr>
      <w:r>
        <w:rPr>
          <w:szCs w:val="28"/>
        </w:rPr>
        <w:t>2)</w:t>
      </w:r>
      <w:r w:rsidRPr="00914157">
        <w:rPr>
          <w:szCs w:val="28"/>
        </w:rPr>
        <w:t xml:space="preserve"> </w:t>
      </w:r>
      <w:r>
        <w:rPr>
          <w:szCs w:val="28"/>
        </w:rPr>
        <w:t>п</w:t>
      </w:r>
      <w:r w:rsidRPr="00914157">
        <w:rPr>
          <w:szCs w:val="28"/>
        </w:rPr>
        <w:t>о налогу на прибыль организаций</w:t>
      </w:r>
      <w:r>
        <w:rPr>
          <w:szCs w:val="28"/>
        </w:rPr>
        <w:t xml:space="preserve"> (1 287 138 тыс. руб.):</w:t>
      </w:r>
      <w:r w:rsidRPr="00914157">
        <w:rPr>
          <w:szCs w:val="28"/>
        </w:rPr>
        <w:t xml:space="preserve"> </w:t>
      </w:r>
    </w:p>
    <w:p w:rsidR="005B690D" w:rsidRDefault="005B690D" w:rsidP="005B690D">
      <w:pPr>
        <w:autoSpaceDE w:val="0"/>
        <w:autoSpaceDN w:val="0"/>
        <w:adjustRightInd w:val="0"/>
        <w:ind w:firstLine="709"/>
        <w:jc w:val="both"/>
        <w:rPr>
          <w:szCs w:val="28"/>
        </w:rPr>
      </w:pPr>
      <w:r w:rsidRPr="00FA2FEA">
        <w:rPr>
          <w:szCs w:val="28"/>
        </w:rPr>
        <w:t xml:space="preserve">- сумма налога на прибыль организаций, недополученная в связи с установлением пониженных налоговых ставок в соответствии с Налоговым кодексом Российской Федерации </w:t>
      </w:r>
      <w:r>
        <w:rPr>
          <w:szCs w:val="28"/>
        </w:rPr>
        <w:t xml:space="preserve">составляет 952 197 тыс. руб. </w:t>
      </w:r>
    </w:p>
    <w:p w:rsidR="005B690D" w:rsidRPr="008D2C9D" w:rsidRDefault="005B690D" w:rsidP="005B690D">
      <w:pPr>
        <w:autoSpaceDE w:val="0"/>
        <w:autoSpaceDN w:val="0"/>
        <w:adjustRightInd w:val="0"/>
        <w:ind w:firstLine="709"/>
        <w:jc w:val="both"/>
        <w:rPr>
          <w:szCs w:val="28"/>
        </w:rPr>
      </w:pPr>
      <w:r>
        <w:rPr>
          <w:szCs w:val="28"/>
        </w:rPr>
        <w:t xml:space="preserve">- </w:t>
      </w:r>
      <w:r w:rsidRPr="00FA2FEA">
        <w:rPr>
          <w:szCs w:val="28"/>
        </w:rPr>
        <w:t>сумма налога на прибыль организаций, недополученная в связи с уменьшением налоговой базы на сумму убытка или части убытка, составила 334 941 тыс. руб</w:t>
      </w:r>
      <w:r>
        <w:rPr>
          <w:szCs w:val="28"/>
        </w:rPr>
        <w:t>.</w:t>
      </w:r>
    </w:p>
    <w:p w:rsidR="005B690D" w:rsidRDefault="005B690D" w:rsidP="005B690D">
      <w:pPr>
        <w:autoSpaceDE w:val="0"/>
        <w:autoSpaceDN w:val="0"/>
        <w:adjustRightInd w:val="0"/>
        <w:ind w:firstLine="709"/>
        <w:jc w:val="both"/>
        <w:rPr>
          <w:szCs w:val="28"/>
        </w:rPr>
      </w:pPr>
      <w:r>
        <w:rPr>
          <w:szCs w:val="28"/>
        </w:rPr>
        <w:t>3) транспортный налог 56 344 тыс. руб. (система «Платон»), в том числе юридические лица 27 335 тыс. руб., физические лица 29 009 тыс. руб.</w:t>
      </w:r>
    </w:p>
    <w:p w:rsidR="005B690D" w:rsidRDefault="005B690D" w:rsidP="005B690D">
      <w:pPr>
        <w:autoSpaceDE w:val="0"/>
        <w:autoSpaceDN w:val="0"/>
        <w:adjustRightInd w:val="0"/>
        <w:ind w:firstLine="709"/>
        <w:jc w:val="both"/>
        <w:rPr>
          <w:szCs w:val="28"/>
        </w:rPr>
      </w:pPr>
      <w:r>
        <w:rPr>
          <w:szCs w:val="28"/>
        </w:rPr>
        <w:t>4) земельный налог 245 275 тыс. руб., в том числе юридические лица 117 812 тыс. руб., физические лица 127 463 тыс. руб.</w:t>
      </w:r>
    </w:p>
    <w:p w:rsidR="005B690D" w:rsidRPr="008D2C9D" w:rsidRDefault="005B690D" w:rsidP="005B690D">
      <w:pPr>
        <w:autoSpaceDE w:val="0"/>
        <w:autoSpaceDN w:val="0"/>
        <w:adjustRightInd w:val="0"/>
        <w:ind w:firstLine="709"/>
        <w:jc w:val="both"/>
        <w:rPr>
          <w:szCs w:val="28"/>
        </w:rPr>
      </w:pPr>
      <w:r>
        <w:rPr>
          <w:szCs w:val="28"/>
        </w:rPr>
        <w:lastRenderedPageBreak/>
        <w:t>5) налог на имущество физических лиц 151 616 тыс. руб. из них 80,3% или 121 708 тыс. руб. льгота пенсионерам, получающим пенсии, назначаемые в порядке, установленном пенсионным законодательством Российской Федерации.</w:t>
      </w:r>
    </w:p>
    <w:p w:rsidR="005B690D" w:rsidRPr="006432C2" w:rsidRDefault="005B690D" w:rsidP="005B690D">
      <w:pPr>
        <w:autoSpaceDE w:val="0"/>
        <w:autoSpaceDN w:val="0"/>
        <w:adjustRightInd w:val="0"/>
        <w:ind w:firstLine="709"/>
        <w:jc w:val="both"/>
        <w:outlineLvl w:val="0"/>
        <w:rPr>
          <w:szCs w:val="28"/>
        </w:rPr>
      </w:pPr>
      <w:r w:rsidRPr="00C23EC4">
        <w:rPr>
          <w:szCs w:val="28"/>
        </w:rPr>
        <w:t xml:space="preserve">Сумма налоговых льгот, установленных </w:t>
      </w:r>
      <w:r w:rsidRPr="00914157">
        <w:rPr>
          <w:b/>
          <w:szCs w:val="28"/>
        </w:rPr>
        <w:t>региональным законодательством</w:t>
      </w:r>
      <w:r w:rsidRPr="006432C2">
        <w:rPr>
          <w:szCs w:val="28"/>
        </w:rPr>
        <w:t xml:space="preserve"> по транспортному налогу и налогу на имущество организаций</w:t>
      </w:r>
      <w:r>
        <w:rPr>
          <w:szCs w:val="28"/>
        </w:rPr>
        <w:t>,</w:t>
      </w:r>
      <w:r w:rsidRPr="006432C2">
        <w:rPr>
          <w:szCs w:val="28"/>
        </w:rPr>
        <w:t xml:space="preserve"> за 2017 год составила 805 065 тыс. руб. При этом сумма льгот, которые имеют исключительно бюджетный эффект, выражающейся в оптимизации расходов областного бюджета Тверской области, и предусматривают сокращение встречных финансовых потоков при одновременном снижении налоговой нагрузки на организации, получающие средства областного бюджета Тверской области и (или) местного бюджета, составила около 117 276 тыс. руб. или 14,6 % от общей суммы льгот, предоставленных региональным законодательством. </w:t>
      </w:r>
    </w:p>
    <w:p w:rsidR="005B690D" w:rsidRPr="006432C2" w:rsidRDefault="005B690D" w:rsidP="005B690D">
      <w:pPr>
        <w:autoSpaceDE w:val="0"/>
        <w:autoSpaceDN w:val="0"/>
        <w:adjustRightInd w:val="0"/>
        <w:ind w:firstLine="709"/>
        <w:jc w:val="both"/>
        <w:outlineLvl w:val="0"/>
        <w:rPr>
          <w:szCs w:val="28"/>
        </w:rPr>
      </w:pPr>
      <w:r w:rsidRPr="006432C2">
        <w:rPr>
          <w:szCs w:val="28"/>
        </w:rPr>
        <w:t>Основн</w:t>
      </w:r>
      <w:r>
        <w:rPr>
          <w:szCs w:val="28"/>
        </w:rPr>
        <w:t>ой</w:t>
      </w:r>
      <w:r w:rsidRPr="006432C2">
        <w:rPr>
          <w:szCs w:val="28"/>
        </w:rPr>
        <w:t xml:space="preserve"> категори</w:t>
      </w:r>
      <w:r>
        <w:rPr>
          <w:szCs w:val="28"/>
        </w:rPr>
        <w:t>ей</w:t>
      </w:r>
      <w:r w:rsidRPr="006432C2">
        <w:rPr>
          <w:szCs w:val="28"/>
        </w:rPr>
        <w:t xml:space="preserve"> льгот, </w:t>
      </w:r>
      <w:r>
        <w:rPr>
          <w:szCs w:val="28"/>
        </w:rPr>
        <w:t xml:space="preserve">формирующей </w:t>
      </w:r>
      <w:r w:rsidRPr="006432C2">
        <w:rPr>
          <w:szCs w:val="28"/>
        </w:rPr>
        <w:t>реальные выпадающие доходы</w:t>
      </w:r>
      <w:r>
        <w:rPr>
          <w:szCs w:val="28"/>
        </w:rPr>
        <w:t xml:space="preserve"> является </w:t>
      </w:r>
      <w:r w:rsidRPr="006432C2">
        <w:rPr>
          <w:szCs w:val="28"/>
        </w:rPr>
        <w:t>льгота по налогу на имущество организаций, предоставленная организациям по производству, переработке и хранению сельскохозяйственной продукции, выращиванию, лову и переработки рыбы и морепродуктов при условии, что выручка от указанных видов деятельности составляет не менее</w:t>
      </w:r>
      <w:r>
        <w:rPr>
          <w:szCs w:val="28"/>
        </w:rPr>
        <w:t xml:space="preserve">          </w:t>
      </w:r>
      <w:r w:rsidRPr="006432C2">
        <w:rPr>
          <w:szCs w:val="28"/>
        </w:rPr>
        <w:t xml:space="preserve"> 70 процентов от общей суммы выручки от реализации продукции (работ, услуг)</w:t>
      </w:r>
      <w:r>
        <w:rPr>
          <w:szCs w:val="28"/>
        </w:rPr>
        <w:t>, и составляет о</w:t>
      </w:r>
      <w:r w:rsidRPr="006432C2">
        <w:rPr>
          <w:szCs w:val="28"/>
        </w:rPr>
        <w:t xml:space="preserve">коло 642 287 тыс. руб. или 79,8% от общей суммы льгот, предоставленных региональным законодательством. </w:t>
      </w:r>
    </w:p>
    <w:p w:rsidR="005B690D" w:rsidRDefault="005B690D" w:rsidP="005B690D">
      <w:pPr>
        <w:autoSpaceDE w:val="0"/>
        <w:autoSpaceDN w:val="0"/>
        <w:adjustRightInd w:val="0"/>
        <w:ind w:firstLine="709"/>
        <w:jc w:val="both"/>
        <w:rPr>
          <w:szCs w:val="28"/>
        </w:rPr>
      </w:pPr>
      <w:r w:rsidRPr="006432C2">
        <w:rPr>
          <w:szCs w:val="28"/>
        </w:rPr>
        <w:t xml:space="preserve">Сумма налоговых льгот, установленных </w:t>
      </w:r>
      <w:r w:rsidRPr="00914157">
        <w:rPr>
          <w:b/>
          <w:szCs w:val="28"/>
        </w:rPr>
        <w:t>органами местного самоуправления</w:t>
      </w:r>
      <w:r w:rsidRPr="006432C2">
        <w:rPr>
          <w:szCs w:val="28"/>
        </w:rPr>
        <w:t xml:space="preserve"> составила </w:t>
      </w:r>
      <w:r>
        <w:rPr>
          <w:szCs w:val="28"/>
        </w:rPr>
        <w:t>374 401</w:t>
      </w:r>
      <w:r w:rsidRPr="006432C2">
        <w:rPr>
          <w:szCs w:val="28"/>
        </w:rPr>
        <w:t xml:space="preserve"> тыс. руб., </w:t>
      </w:r>
      <w:r>
        <w:rPr>
          <w:szCs w:val="28"/>
        </w:rPr>
        <w:t>из которых</w:t>
      </w:r>
      <w:r w:rsidRPr="006432C2">
        <w:rPr>
          <w:szCs w:val="28"/>
        </w:rPr>
        <w:t xml:space="preserve"> льготы</w:t>
      </w:r>
      <w:r>
        <w:rPr>
          <w:szCs w:val="28"/>
        </w:rPr>
        <w:t>,</w:t>
      </w:r>
      <w:r w:rsidRPr="006432C2">
        <w:rPr>
          <w:szCs w:val="28"/>
        </w:rPr>
        <w:t xml:space="preserve"> направлен</w:t>
      </w:r>
      <w:r>
        <w:rPr>
          <w:szCs w:val="28"/>
        </w:rPr>
        <w:t>н</w:t>
      </w:r>
      <w:r w:rsidRPr="006432C2">
        <w:rPr>
          <w:szCs w:val="28"/>
        </w:rPr>
        <w:t>ы</w:t>
      </w:r>
      <w:r>
        <w:rPr>
          <w:szCs w:val="28"/>
        </w:rPr>
        <w:t>е</w:t>
      </w:r>
      <w:r w:rsidRPr="006432C2">
        <w:rPr>
          <w:szCs w:val="28"/>
        </w:rPr>
        <w:t xml:space="preserve"> на сокращение встречных финансовых потоков</w:t>
      </w:r>
      <w:r>
        <w:rPr>
          <w:szCs w:val="28"/>
        </w:rPr>
        <w:t xml:space="preserve"> составляют свыше 90%</w:t>
      </w:r>
      <w:r w:rsidRPr="006432C2">
        <w:rPr>
          <w:szCs w:val="28"/>
        </w:rPr>
        <w:t xml:space="preserve">. </w:t>
      </w:r>
    </w:p>
    <w:p w:rsidR="005B690D" w:rsidRPr="006432C2" w:rsidRDefault="005B690D" w:rsidP="005B690D">
      <w:pPr>
        <w:autoSpaceDE w:val="0"/>
        <w:autoSpaceDN w:val="0"/>
        <w:adjustRightInd w:val="0"/>
        <w:ind w:firstLine="709"/>
        <w:jc w:val="both"/>
        <w:rPr>
          <w:szCs w:val="28"/>
        </w:rPr>
      </w:pPr>
      <w:r>
        <w:rPr>
          <w:szCs w:val="28"/>
        </w:rPr>
        <w:t xml:space="preserve">В соответствии с Федеральным законом от 28.12.2017 №436-ФЗ «О внесении изменений в части первую и вторую Налогового Кодекса Российской Федерации и отдельные законодательные акты Российской Федерации» внесены изменения, предусматривающие увеличение размера налогового вычета по земельному налогу (на величину кадастровой стоимости 600 кв. м.) и расширение перечня категорий граждан, имеющих право на такой вычет (добавлена категория «пенсионеры»). Данные изменения приведут в 2018 году к выпадающим доходам местных бюджетов Тверской области по земельному налогу.  </w:t>
      </w:r>
    </w:p>
    <w:p w:rsidR="005B690D" w:rsidRDefault="005B690D" w:rsidP="005B690D">
      <w:pPr>
        <w:ind w:firstLine="709"/>
        <w:jc w:val="both"/>
        <w:rPr>
          <w:szCs w:val="28"/>
        </w:rPr>
      </w:pPr>
    </w:p>
    <w:p w:rsidR="005B690D" w:rsidRDefault="005B690D" w:rsidP="005B690D">
      <w:pPr>
        <w:autoSpaceDE w:val="0"/>
        <w:autoSpaceDN w:val="0"/>
        <w:adjustRightInd w:val="0"/>
        <w:ind w:firstLine="709"/>
        <w:jc w:val="both"/>
        <w:rPr>
          <w:szCs w:val="28"/>
        </w:rPr>
      </w:pPr>
    </w:p>
    <w:p w:rsidR="005B690D" w:rsidRPr="0048723C" w:rsidRDefault="005B690D" w:rsidP="005B690D">
      <w:pPr>
        <w:autoSpaceDE w:val="0"/>
        <w:autoSpaceDN w:val="0"/>
        <w:adjustRightInd w:val="0"/>
        <w:jc w:val="both"/>
        <w:rPr>
          <w:b/>
          <w:szCs w:val="28"/>
        </w:rPr>
      </w:pPr>
      <w:r w:rsidRPr="0048723C">
        <w:rPr>
          <w:b/>
          <w:szCs w:val="28"/>
          <w:lang w:val="en-US"/>
        </w:rPr>
        <w:t>II</w:t>
      </w:r>
      <w:r w:rsidRPr="0048723C">
        <w:rPr>
          <w:b/>
          <w:szCs w:val="28"/>
        </w:rPr>
        <w:t>. Меры в области налоговой п</w:t>
      </w:r>
      <w:r w:rsidRPr="0048723C">
        <w:rPr>
          <w:rFonts w:cs="Courier New"/>
          <w:b/>
          <w:szCs w:val="28"/>
        </w:rPr>
        <w:t>олитики Тверской области, планируемые к реализации  в 201</w:t>
      </w:r>
      <w:r>
        <w:rPr>
          <w:rFonts w:cs="Courier New"/>
          <w:b/>
          <w:szCs w:val="28"/>
        </w:rPr>
        <w:t>9 году и плановом периоде 2020</w:t>
      </w:r>
      <w:r w:rsidRPr="0048723C">
        <w:rPr>
          <w:rFonts w:cs="Courier New"/>
          <w:b/>
          <w:szCs w:val="28"/>
        </w:rPr>
        <w:t xml:space="preserve"> и 202</w:t>
      </w:r>
      <w:r>
        <w:rPr>
          <w:rFonts w:cs="Courier New"/>
          <w:b/>
          <w:szCs w:val="28"/>
        </w:rPr>
        <w:t>1</w:t>
      </w:r>
      <w:r w:rsidRPr="0048723C">
        <w:rPr>
          <w:b/>
          <w:szCs w:val="28"/>
        </w:rPr>
        <w:t xml:space="preserve"> годов.  </w:t>
      </w:r>
    </w:p>
    <w:p w:rsidR="005B690D" w:rsidRPr="0048723C" w:rsidRDefault="005B690D" w:rsidP="005B690D">
      <w:pPr>
        <w:autoSpaceDE w:val="0"/>
        <w:autoSpaceDN w:val="0"/>
        <w:adjustRightInd w:val="0"/>
        <w:ind w:firstLine="709"/>
        <w:jc w:val="center"/>
        <w:rPr>
          <w:b/>
          <w:szCs w:val="28"/>
        </w:rPr>
      </w:pPr>
    </w:p>
    <w:p w:rsidR="005B690D" w:rsidRPr="0048723C" w:rsidRDefault="005B690D" w:rsidP="005B690D">
      <w:pPr>
        <w:jc w:val="center"/>
        <w:rPr>
          <w:b/>
          <w:szCs w:val="28"/>
        </w:rPr>
      </w:pPr>
      <w:r w:rsidRPr="0048723C">
        <w:rPr>
          <w:b/>
          <w:szCs w:val="28"/>
        </w:rPr>
        <w:t>2.1</w:t>
      </w:r>
      <w:r w:rsidRPr="0048723C">
        <w:rPr>
          <w:szCs w:val="28"/>
        </w:rPr>
        <w:t xml:space="preserve"> </w:t>
      </w:r>
      <w:r w:rsidRPr="0048723C">
        <w:rPr>
          <w:b/>
          <w:szCs w:val="28"/>
        </w:rPr>
        <w:t>Налог на прибыль организаций</w:t>
      </w:r>
    </w:p>
    <w:p w:rsidR="005B690D" w:rsidRPr="0048723C" w:rsidRDefault="005B690D" w:rsidP="005B690D">
      <w:pPr>
        <w:jc w:val="center"/>
        <w:rPr>
          <w:szCs w:val="28"/>
        </w:rPr>
      </w:pPr>
    </w:p>
    <w:p w:rsidR="005B690D" w:rsidRPr="0048723C" w:rsidRDefault="005B690D" w:rsidP="005B690D">
      <w:pPr>
        <w:ind w:firstLine="709"/>
        <w:jc w:val="both"/>
        <w:rPr>
          <w:szCs w:val="28"/>
        </w:rPr>
      </w:pPr>
      <w:r w:rsidRPr="0048723C">
        <w:rPr>
          <w:szCs w:val="28"/>
        </w:rPr>
        <w:t>В соответствии с постановлением Правительства Российской Федерации от 20.04.2015 № 372 и Соглашением от 18.05.2015 № С-138-АЦ/Д14, заключенным между Правительством Российской Федерации, Правительством Тверской области и администрацией Конаковского района Тверской области на территории муниципального образования «Конаковский район» Тверской области создана особая экономическая зона туристско-рекреационного типа.</w:t>
      </w:r>
    </w:p>
    <w:p w:rsidR="005B690D" w:rsidRPr="0048723C" w:rsidRDefault="005B690D" w:rsidP="005B690D">
      <w:pPr>
        <w:ind w:firstLine="709"/>
        <w:jc w:val="both"/>
        <w:rPr>
          <w:b/>
          <w:bCs/>
        </w:rPr>
      </w:pPr>
      <w:r w:rsidRPr="0048723C">
        <w:rPr>
          <w:szCs w:val="28"/>
        </w:rPr>
        <w:t xml:space="preserve">В целях привлечения средств инвесторов в развитие объектов туристской инфраструктуры на территории особой экономической зоны туристско-рекреационного типа, созданной на территории муниципального образования </w:t>
      </w:r>
      <w:r w:rsidRPr="0048723C">
        <w:rPr>
          <w:szCs w:val="28"/>
        </w:rPr>
        <w:lastRenderedPageBreak/>
        <w:t xml:space="preserve">«Конаковский район» Тверской области, уменьшения сроков инвестирования, увеличения количества объектов и, в конечном итоге, увеличения доходов бюджета Тверской области на территории Тверской области с 1 января 2018 года </w:t>
      </w:r>
      <w:r w:rsidRPr="00FA2FEA">
        <w:rPr>
          <w:szCs w:val="28"/>
        </w:rPr>
        <w:t>действует</w:t>
      </w:r>
      <w:r>
        <w:rPr>
          <w:szCs w:val="28"/>
        </w:rPr>
        <w:t xml:space="preserve"> </w:t>
      </w:r>
      <w:r w:rsidRPr="0048723C">
        <w:rPr>
          <w:szCs w:val="28"/>
        </w:rPr>
        <w:t>закон Тверской области от 22.07.2017 № 57-ЗО «Об установлении пониженной налоговой ставки налога на прибыль организаций для организаций – резидентов особ</w:t>
      </w:r>
      <w:r>
        <w:rPr>
          <w:szCs w:val="28"/>
        </w:rPr>
        <w:t>ой экономической зоны туристско</w:t>
      </w:r>
      <w:r w:rsidRPr="0048723C">
        <w:rPr>
          <w:szCs w:val="28"/>
        </w:rPr>
        <w:t>–рекреационного типа, созданной на территории муниципального образования «Конаковский район» Тверской области».</w:t>
      </w:r>
    </w:p>
    <w:p w:rsidR="005B690D" w:rsidRPr="0048723C" w:rsidRDefault="005B690D" w:rsidP="005B690D">
      <w:pPr>
        <w:autoSpaceDE w:val="0"/>
        <w:autoSpaceDN w:val="0"/>
        <w:adjustRightInd w:val="0"/>
        <w:ind w:firstLine="709"/>
        <w:jc w:val="both"/>
        <w:rPr>
          <w:szCs w:val="28"/>
        </w:rPr>
      </w:pPr>
      <w:r w:rsidRPr="0048723C">
        <w:rPr>
          <w:szCs w:val="28"/>
        </w:rPr>
        <w:t>Законом устанавливается пониженная налоговая ставка налога на прибыль организаций, подлежащего зачислению в областной бюджет Тверской области, для организаций - 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 (далее - особая экономическая зона), приобретших такой статус не позднее 1 января 2020 года, в отношении прибыли, полученной от деятельности, осуществляемой на территории особой экономической зоны, в размере:</w:t>
      </w:r>
    </w:p>
    <w:p w:rsidR="005B690D" w:rsidRPr="0048723C" w:rsidRDefault="005B690D" w:rsidP="005B690D">
      <w:pPr>
        <w:autoSpaceDE w:val="0"/>
        <w:autoSpaceDN w:val="0"/>
        <w:adjustRightInd w:val="0"/>
        <w:ind w:firstLine="709"/>
        <w:jc w:val="both"/>
        <w:rPr>
          <w:szCs w:val="28"/>
        </w:rPr>
      </w:pPr>
      <w:r w:rsidRPr="0048723C">
        <w:rPr>
          <w:szCs w:val="28"/>
        </w:rPr>
        <w:t>1) 12,5 процента с 1 января 2018 года;</w:t>
      </w:r>
    </w:p>
    <w:p w:rsidR="005B690D" w:rsidRPr="0048723C" w:rsidRDefault="005B690D" w:rsidP="005B690D">
      <w:pPr>
        <w:autoSpaceDE w:val="0"/>
        <w:autoSpaceDN w:val="0"/>
        <w:adjustRightInd w:val="0"/>
        <w:ind w:firstLine="709"/>
        <w:jc w:val="both"/>
        <w:rPr>
          <w:szCs w:val="28"/>
        </w:rPr>
      </w:pPr>
      <w:r w:rsidRPr="0048723C">
        <w:rPr>
          <w:szCs w:val="28"/>
        </w:rPr>
        <w:t>2) 13,5 процента с 1 января 2021 года.</w:t>
      </w:r>
    </w:p>
    <w:p w:rsidR="005B690D" w:rsidRDefault="005B690D" w:rsidP="005B690D">
      <w:pPr>
        <w:autoSpaceDE w:val="0"/>
        <w:autoSpaceDN w:val="0"/>
        <w:adjustRightInd w:val="0"/>
        <w:ind w:firstLine="709"/>
        <w:jc w:val="both"/>
        <w:rPr>
          <w:szCs w:val="28"/>
        </w:rPr>
      </w:pPr>
      <w:r w:rsidRPr="0048723C">
        <w:rPr>
          <w:szCs w:val="28"/>
        </w:rPr>
        <w:t>Организации - резиденты особой экономической зоны вправе воспользоваться пониженной налоговой ставкой налога на прибыль организаций, сроком на десять лет начиная с 1-го числа отчетного периода, следующего за отчетным (налоговым) периодом, в котором такая организация в соответствии с законодательством приобрела статус резидента особой экономической зоны.</w:t>
      </w:r>
    </w:p>
    <w:p w:rsidR="005B690D" w:rsidRDefault="005B690D" w:rsidP="005B690D">
      <w:pPr>
        <w:ind w:firstLine="709"/>
        <w:jc w:val="both"/>
        <w:rPr>
          <w:snapToGrid w:val="0"/>
          <w:szCs w:val="28"/>
        </w:rPr>
      </w:pPr>
      <w:r w:rsidRPr="00FA2FEA">
        <w:rPr>
          <w:snapToGrid w:val="0"/>
          <w:szCs w:val="28"/>
        </w:rPr>
        <w:t>В 2018 году статус резидента особой экономической зоны получили три организации: ООО «Меркурий», ООО «Аэропорт Завидово» и ООО «Территория Завидово»</w:t>
      </w:r>
      <w:r>
        <w:rPr>
          <w:snapToGrid w:val="0"/>
          <w:szCs w:val="28"/>
        </w:rPr>
        <w:t>.</w:t>
      </w:r>
    </w:p>
    <w:p w:rsidR="005B690D" w:rsidRDefault="005B690D" w:rsidP="005B690D">
      <w:pPr>
        <w:ind w:firstLine="709"/>
        <w:jc w:val="both"/>
        <w:rPr>
          <w:snapToGrid w:val="0"/>
          <w:szCs w:val="28"/>
        </w:rPr>
      </w:pPr>
    </w:p>
    <w:p w:rsidR="005B690D" w:rsidRPr="00F81495" w:rsidRDefault="005B690D" w:rsidP="005B690D">
      <w:pPr>
        <w:autoSpaceDE w:val="0"/>
        <w:autoSpaceDN w:val="0"/>
        <w:adjustRightInd w:val="0"/>
        <w:ind w:firstLine="709"/>
        <w:jc w:val="center"/>
        <w:rPr>
          <w:b/>
          <w:szCs w:val="28"/>
        </w:rPr>
      </w:pPr>
      <w:r w:rsidRPr="00F81495">
        <w:rPr>
          <w:b/>
          <w:szCs w:val="28"/>
        </w:rPr>
        <w:t>2.</w:t>
      </w:r>
      <w:r>
        <w:rPr>
          <w:b/>
          <w:szCs w:val="28"/>
        </w:rPr>
        <w:t>2</w:t>
      </w:r>
      <w:r w:rsidRPr="00F81495">
        <w:rPr>
          <w:b/>
          <w:szCs w:val="28"/>
        </w:rPr>
        <w:t xml:space="preserve"> Налог на имущество организаций</w:t>
      </w:r>
    </w:p>
    <w:p w:rsidR="005B690D" w:rsidRPr="000E0CA8" w:rsidRDefault="005B690D" w:rsidP="005B690D">
      <w:pPr>
        <w:autoSpaceDE w:val="0"/>
        <w:autoSpaceDN w:val="0"/>
        <w:adjustRightInd w:val="0"/>
        <w:ind w:firstLine="540"/>
        <w:jc w:val="both"/>
        <w:rPr>
          <w:szCs w:val="28"/>
        </w:rPr>
      </w:pPr>
    </w:p>
    <w:p w:rsidR="005B690D" w:rsidRPr="00277A02" w:rsidRDefault="005B690D" w:rsidP="005B690D">
      <w:pPr>
        <w:autoSpaceDE w:val="0"/>
        <w:autoSpaceDN w:val="0"/>
        <w:adjustRightInd w:val="0"/>
        <w:ind w:firstLine="709"/>
        <w:jc w:val="both"/>
        <w:rPr>
          <w:szCs w:val="28"/>
        </w:rPr>
      </w:pPr>
      <w:r w:rsidRPr="00277A02">
        <w:rPr>
          <w:szCs w:val="28"/>
        </w:rPr>
        <w:t>В соответствии с НК РФ на территории Тверской области налог на имущество организаций установлен законом Тверской области от 27.11.2003</w:t>
      </w:r>
      <w:r>
        <w:rPr>
          <w:szCs w:val="28"/>
        </w:rPr>
        <w:t xml:space="preserve">         </w:t>
      </w:r>
      <w:r w:rsidRPr="00277A02">
        <w:rPr>
          <w:szCs w:val="28"/>
        </w:rPr>
        <w:t xml:space="preserve"> № 85-ЗО «О налоге на имущество организаций» (далее – закон Тверской области 85-ЗО).</w:t>
      </w:r>
    </w:p>
    <w:p w:rsidR="005B690D" w:rsidRPr="00277A02" w:rsidRDefault="005B690D" w:rsidP="005B690D">
      <w:pPr>
        <w:widowControl w:val="0"/>
        <w:autoSpaceDE w:val="0"/>
        <w:autoSpaceDN w:val="0"/>
        <w:adjustRightInd w:val="0"/>
        <w:ind w:firstLine="709"/>
        <w:jc w:val="both"/>
        <w:rPr>
          <w:szCs w:val="28"/>
        </w:rPr>
      </w:pPr>
      <w:r w:rsidRPr="00277A02">
        <w:rPr>
          <w:szCs w:val="28"/>
        </w:rPr>
        <w:t xml:space="preserve">Федеральным законом от 02.11.2013 № 307-ФЗ «О внесении изменений в статью 12 части первой и главу 30 части второй Налогового кодекса Российской Федерации» внесены изменения в НК РФ, предоставляющие законодательным органам государственной власти субъектов Российской Федерации право устанавливать особенности определения налоговой базы отдельных объектов недвижимого имущества по налогу на имущество организаций, предусматривающие расчет налоговой базы исходя из кадастровой стоимости. </w:t>
      </w:r>
    </w:p>
    <w:p w:rsidR="005B690D" w:rsidRDefault="005B690D" w:rsidP="005B690D">
      <w:pPr>
        <w:widowControl w:val="0"/>
        <w:autoSpaceDE w:val="0"/>
        <w:autoSpaceDN w:val="0"/>
        <w:adjustRightInd w:val="0"/>
        <w:ind w:firstLine="709"/>
        <w:jc w:val="both"/>
        <w:rPr>
          <w:szCs w:val="28"/>
        </w:rPr>
      </w:pPr>
      <w:r w:rsidRPr="00277A02">
        <w:rPr>
          <w:szCs w:val="28"/>
        </w:rPr>
        <w:t xml:space="preserve">В соответствии с пунктом 7 статьи 378.2 НК РФ уполномоченный орган исполнительной власти субъекта Российской Федерации определяет на налоговый период перечень объектов недвижимого имущества в отношении которых налоговая база будет определяться исходя из их кадастровой стоимости. </w:t>
      </w:r>
    </w:p>
    <w:p w:rsidR="005B690D" w:rsidRPr="00277A02" w:rsidRDefault="005B690D" w:rsidP="005B690D">
      <w:pPr>
        <w:widowControl w:val="0"/>
        <w:autoSpaceDE w:val="0"/>
        <w:autoSpaceDN w:val="0"/>
        <w:adjustRightInd w:val="0"/>
        <w:ind w:firstLine="709"/>
        <w:jc w:val="both"/>
        <w:rPr>
          <w:szCs w:val="28"/>
        </w:rPr>
      </w:pPr>
      <w:r>
        <w:rPr>
          <w:szCs w:val="28"/>
        </w:rPr>
        <w:t>В целях реализации указанных положений разработан проект постановления Правительства Тверской области «Об утверждении Порядка определения вида фактического использования зданий (строений, сооружений) и помещений» и создано государственное бюджетное учреждение Тверской области «Центр кадастровой оценки и технической инвентаризации»</w:t>
      </w:r>
    </w:p>
    <w:p w:rsidR="005B690D" w:rsidRPr="00277A02" w:rsidRDefault="005B690D" w:rsidP="005B690D">
      <w:pPr>
        <w:autoSpaceDE w:val="0"/>
        <w:autoSpaceDN w:val="0"/>
        <w:adjustRightInd w:val="0"/>
        <w:ind w:firstLine="709"/>
        <w:jc w:val="both"/>
        <w:rPr>
          <w:szCs w:val="28"/>
        </w:rPr>
      </w:pPr>
      <w:r w:rsidRPr="00277A02">
        <w:rPr>
          <w:szCs w:val="28"/>
        </w:rPr>
        <w:lastRenderedPageBreak/>
        <w:t>В перспективе планируется переход на взимание налога на имущество организаций по отдельным объектам от их кадастровой стоимости.</w:t>
      </w:r>
    </w:p>
    <w:p w:rsidR="005B690D" w:rsidRPr="001A3234" w:rsidRDefault="005B690D" w:rsidP="005B690D">
      <w:pPr>
        <w:pStyle w:val="ConsPlusNormal"/>
        <w:ind w:firstLine="709"/>
        <w:jc w:val="both"/>
      </w:pPr>
      <w:r w:rsidRPr="00277A02">
        <w:t>Установление на территории Тверской области особенностей определения налоговой базы, исходя из кадастровой стоимости в отношении отдельных объектов налогообложения, потребует внесения соответствующих изменений в Закон Тверской области от 27.11.2003 № 85-ЗО «О налоге на имущество организаций».</w:t>
      </w:r>
    </w:p>
    <w:p w:rsidR="005B690D" w:rsidRPr="001A3234" w:rsidRDefault="005B690D" w:rsidP="005B690D">
      <w:pPr>
        <w:pStyle w:val="ConsPlusNormal"/>
        <w:ind w:firstLine="709"/>
        <w:jc w:val="both"/>
      </w:pPr>
    </w:p>
    <w:p w:rsidR="005B690D" w:rsidRDefault="005B690D" w:rsidP="005B690D">
      <w:pPr>
        <w:autoSpaceDE w:val="0"/>
        <w:autoSpaceDN w:val="0"/>
        <w:adjustRightInd w:val="0"/>
        <w:jc w:val="center"/>
        <w:rPr>
          <w:b/>
          <w:szCs w:val="28"/>
        </w:rPr>
      </w:pPr>
    </w:p>
    <w:p w:rsidR="005B690D" w:rsidRDefault="005B690D" w:rsidP="005B690D">
      <w:pPr>
        <w:autoSpaceDE w:val="0"/>
        <w:autoSpaceDN w:val="0"/>
        <w:adjustRightInd w:val="0"/>
        <w:jc w:val="center"/>
        <w:rPr>
          <w:rFonts w:eastAsiaTheme="minorHAnsi"/>
          <w:b/>
          <w:szCs w:val="28"/>
          <w:lang w:eastAsia="en-US"/>
        </w:rPr>
      </w:pPr>
      <w:r w:rsidRPr="0093141C">
        <w:rPr>
          <w:b/>
          <w:szCs w:val="28"/>
        </w:rPr>
        <w:t>2.</w:t>
      </w:r>
      <w:r>
        <w:rPr>
          <w:b/>
          <w:szCs w:val="28"/>
        </w:rPr>
        <w:t>3</w:t>
      </w:r>
      <w:r w:rsidRPr="0093141C">
        <w:rPr>
          <w:b/>
          <w:szCs w:val="28"/>
        </w:rPr>
        <w:t>.</w:t>
      </w:r>
      <w:r w:rsidRPr="0093141C">
        <w:rPr>
          <w:rFonts w:eastAsiaTheme="minorHAnsi"/>
          <w:b/>
          <w:szCs w:val="28"/>
          <w:lang w:eastAsia="en-US"/>
        </w:rPr>
        <w:t xml:space="preserve"> Проведение государственной кадастровой оценки </w:t>
      </w:r>
    </w:p>
    <w:p w:rsidR="005B690D" w:rsidRDefault="005B690D" w:rsidP="005B690D">
      <w:pPr>
        <w:autoSpaceDE w:val="0"/>
        <w:autoSpaceDN w:val="0"/>
        <w:adjustRightInd w:val="0"/>
        <w:jc w:val="center"/>
        <w:rPr>
          <w:rFonts w:eastAsiaTheme="minorHAnsi"/>
          <w:b/>
          <w:szCs w:val="28"/>
          <w:lang w:eastAsia="en-US"/>
        </w:rPr>
      </w:pPr>
      <w:r w:rsidRPr="0093141C">
        <w:rPr>
          <w:rFonts w:eastAsiaTheme="minorHAnsi"/>
          <w:b/>
          <w:szCs w:val="28"/>
          <w:lang w:eastAsia="en-US"/>
        </w:rPr>
        <w:t>на территории Тверской области</w:t>
      </w:r>
    </w:p>
    <w:p w:rsidR="005B690D" w:rsidRDefault="005B690D" w:rsidP="005B690D">
      <w:pPr>
        <w:autoSpaceDE w:val="0"/>
        <w:autoSpaceDN w:val="0"/>
        <w:adjustRightInd w:val="0"/>
        <w:jc w:val="center"/>
        <w:rPr>
          <w:rFonts w:eastAsiaTheme="minorHAnsi"/>
          <w:b/>
          <w:szCs w:val="28"/>
          <w:lang w:eastAsia="en-US"/>
        </w:rPr>
      </w:pPr>
    </w:p>
    <w:p w:rsidR="005B690D" w:rsidRDefault="005B690D" w:rsidP="005B690D">
      <w:pPr>
        <w:autoSpaceDE w:val="0"/>
        <w:autoSpaceDN w:val="0"/>
        <w:adjustRightInd w:val="0"/>
        <w:ind w:firstLine="709"/>
        <w:jc w:val="both"/>
        <w:rPr>
          <w:rStyle w:val="FontStyle17"/>
          <w:sz w:val="28"/>
          <w:szCs w:val="28"/>
        </w:rPr>
      </w:pPr>
      <w:r w:rsidRPr="0093141C">
        <w:rPr>
          <w:rFonts w:eastAsiaTheme="minorHAnsi"/>
          <w:szCs w:val="28"/>
          <w:lang w:eastAsia="en-US"/>
        </w:rPr>
        <w:t xml:space="preserve">В 2019 году планируется проведение </w:t>
      </w:r>
      <w:r>
        <w:rPr>
          <w:rFonts w:eastAsiaTheme="minorHAnsi"/>
          <w:szCs w:val="28"/>
          <w:lang w:eastAsia="en-US"/>
        </w:rPr>
        <w:t xml:space="preserve">государственной </w:t>
      </w:r>
      <w:r w:rsidRPr="0093141C">
        <w:rPr>
          <w:rFonts w:eastAsiaTheme="minorHAnsi"/>
          <w:szCs w:val="28"/>
          <w:lang w:eastAsia="en-US"/>
        </w:rPr>
        <w:t>кадастровой оценки земельных участков (</w:t>
      </w:r>
      <w:r>
        <w:rPr>
          <w:rFonts w:eastAsiaTheme="minorHAnsi"/>
          <w:szCs w:val="28"/>
          <w:lang w:eastAsia="en-US"/>
        </w:rPr>
        <w:t>з</w:t>
      </w:r>
      <w:r w:rsidRPr="0093141C">
        <w:rPr>
          <w:rFonts w:eastAsiaTheme="minorHAnsi"/>
          <w:szCs w:val="28"/>
          <w:lang w:eastAsia="en-US"/>
        </w:rPr>
        <w:t>емли сельхозназначений)</w:t>
      </w:r>
      <w:r>
        <w:rPr>
          <w:rFonts w:eastAsiaTheme="minorHAnsi"/>
          <w:szCs w:val="28"/>
          <w:lang w:eastAsia="en-US"/>
        </w:rPr>
        <w:t>, в</w:t>
      </w:r>
      <w:r w:rsidRPr="0093141C">
        <w:rPr>
          <w:rFonts w:eastAsiaTheme="minorHAnsi"/>
          <w:szCs w:val="28"/>
          <w:lang w:eastAsia="en-US"/>
        </w:rPr>
        <w:t xml:space="preserve"> 2020 году объектов капитального строительства</w:t>
      </w:r>
      <w:r>
        <w:rPr>
          <w:rFonts w:eastAsiaTheme="minorHAnsi"/>
          <w:szCs w:val="28"/>
          <w:lang w:eastAsia="en-US"/>
        </w:rPr>
        <w:t>, в</w:t>
      </w:r>
      <w:r w:rsidRPr="0093141C">
        <w:rPr>
          <w:rFonts w:eastAsiaTheme="minorHAnsi"/>
          <w:szCs w:val="28"/>
          <w:lang w:eastAsia="en-US"/>
        </w:rPr>
        <w:t xml:space="preserve"> 2021 оставшиеся </w:t>
      </w:r>
      <w:r>
        <w:rPr>
          <w:rFonts w:eastAsiaTheme="minorHAnsi"/>
          <w:szCs w:val="28"/>
          <w:lang w:eastAsia="en-US"/>
        </w:rPr>
        <w:t>з</w:t>
      </w:r>
      <w:r w:rsidRPr="0093141C">
        <w:rPr>
          <w:rFonts w:eastAsiaTheme="minorHAnsi"/>
          <w:szCs w:val="28"/>
          <w:lang w:eastAsia="en-US"/>
        </w:rPr>
        <w:t>емельные участки</w:t>
      </w:r>
      <w:r>
        <w:rPr>
          <w:rFonts w:eastAsiaTheme="minorHAnsi"/>
          <w:szCs w:val="28"/>
          <w:lang w:eastAsia="en-US"/>
        </w:rPr>
        <w:t>.</w:t>
      </w:r>
      <w:r w:rsidRPr="0093141C">
        <w:rPr>
          <w:rFonts w:eastAsiaTheme="minorHAnsi"/>
          <w:szCs w:val="28"/>
          <w:lang w:eastAsia="en-US"/>
        </w:rPr>
        <w:t xml:space="preserve"> </w:t>
      </w:r>
      <w:r w:rsidR="003148E2" w:rsidRPr="0093141C">
        <w:rPr>
          <w:rFonts w:eastAsiaTheme="minorHAnsi"/>
          <w:szCs w:val="28"/>
          <w:lang w:eastAsia="en-US"/>
        </w:rPr>
        <w:t>Общее количество объектов,</w:t>
      </w:r>
      <w:r w:rsidRPr="0093141C">
        <w:rPr>
          <w:rFonts w:eastAsiaTheme="minorHAnsi"/>
          <w:szCs w:val="28"/>
          <w:lang w:eastAsia="en-US"/>
        </w:rPr>
        <w:t xml:space="preserve"> в отношении котор</w:t>
      </w:r>
      <w:r>
        <w:rPr>
          <w:rFonts w:eastAsiaTheme="minorHAnsi"/>
          <w:szCs w:val="28"/>
          <w:lang w:eastAsia="en-US"/>
        </w:rPr>
        <w:t>ых</w:t>
      </w:r>
      <w:r w:rsidRPr="0093141C">
        <w:rPr>
          <w:rFonts w:eastAsiaTheme="minorHAnsi"/>
          <w:szCs w:val="28"/>
          <w:lang w:eastAsia="en-US"/>
        </w:rPr>
        <w:t xml:space="preserve"> будет проведена государственная кадастровая оценк</w:t>
      </w:r>
      <w:r>
        <w:rPr>
          <w:rFonts w:eastAsiaTheme="minorHAnsi"/>
          <w:szCs w:val="28"/>
          <w:lang w:eastAsia="en-US"/>
        </w:rPr>
        <w:t>а в период 2019-2021 годы состав</w:t>
      </w:r>
      <w:r w:rsidRPr="0093141C">
        <w:rPr>
          <w:rFonts w:eastAsiaTheme="minorHAnsi"/>
          <w:szCs w:val="28"/>
          <w:lang w:eastAsia="en-US"/>
        </w:rPr>
        <w:t>ит 2 22</w:t>
      </w:r>
      <w:r>
        <w:rPr>
          <w:rFonts w:eastAsiaTheme="minorHAnsi"/>
          <w:szCs w:val="28"/>
          <w:lang w:eastAsia="en-US"/>
        </w:rPr>
        <w:t>3</w:t>
      </w:r>
      <w:r w:rsidRPr="0093141C">
        <w:rPr>
          <w:rFonts w:eastAsiaTheme="minorHAnsi"/>
          <w:szCs w:val="28"/>
          <w:lang w:eastAsia="en-US"/>
        </w:rPr>
        <w:t> 41</w:t>
      </w:r>
      <w:r>
        <w:rPr>
          <w:rFonts w:eastAsiaTheme="minorHAnsi"/>
          <w:szCs w:val="28"/>
          <w:lang w:eastAsia="en-US"/>
        </w:rPr>
        <w:t>2</w:t>
      </w:r>
      <w:r w:rsidRPr="0093141C">
        <w:rPr>
          <w:rFonts w:eastAsiaTheme="minorHAnsi"/>
          <w:szCs w:val="28"/>
          <w:lang w:eastAsia="en-US"/>
        </w:rPr>
        <w:t xml:space="preserve"> объектов.</w:t>
      </w:r>
      <w:r w:rsidRPr="00CF1372">
        <w:rPr>
          <w:rStyle w:val="FontStyle17"/>
          <w:sz w:val="28"/>
          <w:szCs w:val="28"/>
        </w:rPr>
        <w:t xml:space="preserve"> </w:t>
      </w:r>
    </w:p>
    <w:p w:rsidR="005B690D" w:rsidRDefault="005B690D" w:rsidP="005B690D">
      <w:pPr>
        <w:autoSpaceDE w:val="0"/>
        <w:autoSpaceDN w:val="0"/>
        <w:adjustRightInd w:val="0"/>
        <w:ind w:firstLine="709"/>
        <w:jc w:val="both"/>
        <w:rPr>
          <w:rStyle w:val="213pt0pt"/>
          <w:szCs w:val="28"/>
        </w:rPr>
      </w:pPr>
      <w:r w:rsidRPr="0077221C">
        <w:rPr>
          <w:rStyle w:val="FontStyle17"/>
          <w:sz w:val="28"/>
          <w:szCs w:val="28"/>
        </w:rPr>
        <w:t>Определение кадастровой стоимости объектов недвижимости в рамках государственной кадастровой оценки</w:t>
      </w:r>
      <w:r>
        <w:rPr>
          <w:rStyle w:val="FontStyle17"/>
          <w:sz w:val="28"/>
          <w:szCs w:val="28"/>
        </w:rPr>
        <w:t xml:space="preserve"> уполномочено проводить Г</w:t>
      </w:r>
      <w:r w:rsidRPr="007632B6">
        <w:rPr>
          <w:rStyle w:val="FontStyle17"/>
          <w:sz w:val="28"/>
          <w:szCs w:val="28"/>
        </w:rPr>
        <w:t xml:space="preserve">осударственное бюджетное учреждение Тверской области </w:t>
      </w:r>
      <w:r w:rsidRPr="0077221C">
        <w:rPr>
          <w:rStyle w:val="213pt0pt"/>
          <w:szCs w:val="28"/>
        </w:rPr>
        <w:t>«</w:t>
      </w:r>
      <w:r w:rsidRPr="0077221C">
        <w:rPr>
          <w:szCs w:val="28"/>
        </w:rPr>
        <w:t>Центр кадастровой оценки и технической инвентаризации</w:t>
      </w:r>
      <w:r w:rsidRPr="0077221C">
        <w:rPr>
          <w:rStyle w:val="213pt0pt"/>
          <w:szCs w:val="28"/>
        </w:rPr>
        <w:t>»</w:t>
      </w:r>
      <w:r>
        <w:rPr>
          <w:rStyle w:val="213pt0pt"/>
          <w:szCs w:val="28"/>
        </w:rPr>
        <w:t>.</w:t>
      </w:r>
    </w:p>
    <w:p w:rsidR="005B690D" w:rsidRDefault="005B690D" w:rsidP="005B690D">
      <w:pPr>
        <w:autoSpaceDE w:val="0"/>
        <w:autoSpaceDN w:val="0"/>
        <w:adjustRightInd w:val="0"/>
        <w:ind w:firstLine="709"/>
        <w:jc w:val="both"/>
        <w:rPr>
          <w:rStyle w:val="213pt0pt"/>
          <w:szCs w:val="28"/>
        </w:rPr>
      </w:pPr>
    </w:p>
    <w:p w:rsidR="005B690D" w:rsidRDefault="005B690D" w:rsidP="005B690D">
      <w:pPr>
        <w:autoSpaceDE w:val="0"/>
        <w:autoSpaceDN w:val="0"/>
        <w:adjustRightInd w:val="0"/>
        <w:ind w:firstLine="709"/>
        <w:jc w:val="both"/>
        <w:rPr>
          <w:rStyle w:val="213pt0pt"/>
          <w:szCs w:val="28"/>
        </w:rPr>
      </w:pPr>
    </w:p>
    <w:p w:rsidR="005B690D" w:rsidRPr="00242870" w:rsidRDefault="005B690D" w:rsidP="005B690D">
      <w:pPr>
        <w:ind w:firstLine="992"/>
        <w:jc w:val="center"/>
        <w:textAlignment w:val="baseline"/>
        <w:rPr>
          <w:b/>
          <w:szCs w:val="28"/>
        </w:rPr>
      </w:pPr>
      <w:r w:rsidRPr="00242870">
        <w:rPr>
          <w:b/>
          <w:szCs w:val="28"/>
        </w:rPr>
        <w:t>2.</w:t>
      </w:r>
      <w:r>
        <w:rPr>
          <w:b/>
          <w:szCs w:val="28"/>
        </w:rPr>
        <w:t>4</w:t>
      </w:r>
      <w:r w:rsidRPr="00242870">
        <w:rPr>
          <w:b/>
          <w:szCs w:val="28"/>
        </w:rPr>
        <w:t>. Создание условий для развития малого предпринимательства.</w:t>
      </w:r>
    </w:p>
    <w:p w:rsidR="005B690D" w:rsidRPr="00242870" w:rsidRDefault="005B690D" w:rsidP="005B690D">
      <w:pPr>
        <w:autoSpaceDE w:val="0"/>
        <w:autoSpaceDN w:val="0"/>
        <w:adjustRightInd w:val="0"/>
        <w:ind w:firstLine="540"/>
        <w:jc w:val="both"/>
        <w:rPr>
          <w:b/>
          <w:szCs w:val="28"/>
        </w:rPr>
      </w:pPr>
    </w:p>
    <w:p w:rsidR="005B690D" w:rsidRPr="00242870" w:rsidRDefault="005B690D" w:rsidP="005B690D">
      <w:pPr>
        <w:widowControl w:val="0"/>
        <w:ind w:firstLine="709"/>
        <w:jc w:val="both"/>
        <w:rPr>
          <w:szCs w:val="28"/>
        </w:rPr>
      </w:pPr>
      <w:r w:rsidRPr="00242870">
        <w:rPr>
          <w:snapToGrid w:val="0"/>
          <w:szCs w:val="28"/>
        </w:rPr>
        <w:t xml:space="preserve">В целях </w:t>
      </w:r>
      <w:r>
        <w:rPr>
          <w:snapToGrid w:val="0"/>
          <w:szCs w:val="28"/>
        </w:rPr>
        <w:t>создания условий для развития малого предпринимательства статьями 346.20 и 346.50 НК РФ предоставляется</w:t>
      </w:r>
      <w:r w:rsidRPr="00242870">
        <w:rPr>
          <w:snapToGrid w:val="0"/>
          <w:szCs w:val="28"/>
        </w:rPr>
        <w:t xml:space="preserve"> субъектам Российской Федерации право </w:t>
      </w:r>
      <w:bookmarkStart w:id="0" w:name="Par0"/>
      <w:bookmarkEnd w:id="0"/>
      <w:r w:rsidRPr="00242870">
        <w:rPr>
          <w:szCs w:val="28"/>
        </w:rPr>
        <w:t xml:space="preserve">установления налоговой ставки в размере 0 процентов для налогоплательщиков - индивидуальных предпринимателей, впервые зарегистрированных после вступления в силу соответствующих законов субъектов </w:t>
      </w:r>
      <w:r w:rsidRPr="00242870">
        <w:rPr>
          <w:snapToGrid w:val="0"/>
          <w:szCs w:val="28"/>
        </w:rPr>
        <w:t xml:space="preserve">Российской Федерации </w:t>
      </w:r>
      <w:r w:rsidRPr="00242870">
        <w:rPr>
          <w:szCs w:val="28"/>
        </w:rPr>
        <w:t>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5B690D" w:rsidRDefault="005B690D" w:rsidP="005B690D">
      <w:pPr>
        <w:autoSpaceDE w:val="0"/>
        <w:autoSpaceDN w:val="0"/>
        <w:adjustRightInd w:val="0"/>
        <w:ind w:firstLine="709"/>
        <w:jc w:val="both"/>
        <w:rPr>
          <w:szCs w:val="28"/>
        </w:rPr>
      </w:pPr>
      <w:r w:rsidRPr="00242870">
        <w:t xml:space="preserve">В целях повышения </w:t>
      </w:r>
      <w:r>
        <w:t>самозанятости населения Тверской области</w:t>
      </w:r>
      <w:r w:rsidRPr="00242870">
        <w:t xml:space="preserve">, создания условий для развития </w:t>
      </w:r>
      <w:r w:rsidRPr="00242870">
        <w:rPr>
          <w:szCs w:val="28"/>
        </w:rPr>
        <w:t>предпринимательской деятельности принят закон Тверской области от 07.12.2015 № 111-ЗО «Об установлении</w:t>
      </w:r>
      <w:r>
        <w:rPr>
          <w:szCs w:val="28"/>
        </w:rPr>
        <w:t xml:space="preserve"> налоговой ставки в размере 0 процентов для налогоплательщиков -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w:t>
      </w:r>
    </w:p>
    <w:p w:rsidR="005B690D" w:rsidRDefault="005B690D" w:rsidP="005B690D">
      <w:pPr>
        <w:autoSpaceDE w:val="0"/>
        <w:autoSpaceDN w:val="0"/>
        <w:adjustRightInd w:val="0"/>
        <w:ind w:firstLine="709"/>
        <w:jc w:val="both"/>
        <w:rPr>
          <w:szCs w:val="28"/>
        </w:rPr>
      </w:pPr>
      <w:r w:rsidRPr="00242870">
        <w:rPr>
          <w:szCs w:val="28"/>
        </w:rPr>
        <w:t>Налоговая ставка в размере 0 процентов установлена для индивидуальных предпринимателей, применяющих патентную систему налогообложения</w:t>
      </w:r>
      <w:r>
        <w:rPr>
          <w:szCs w:val="28"/>
        </w:rPr>
        <w:t>, в отношении 28 видов</w:t>
      </w:r>
      <w:r w:rsidRPr="00242870">
        <w:rPr>
          <w:szCs w:val="28"/>
        </w:rPr>
        <w:t xml:space="preserve"> п</w:t>
      </w:r>
      <w:r>
        <w:rPr>
          <w:szCs w:val="28"/>
        </w:rPr>
        <w:t xml:space="preserve">редпринимательской деятельности, и </w:t>
      </w:r>
      <w:r w:rsidRPr="00242870">
        <w:rPr>
          <w:szCs w:val="28"/>
        </w:rPr>
        <w:t xml:space="preserve">применяющих </w:t>
      </w:r>
      <w:r>
        <w:rPr>
          <w:szCs w:val="28"/>
        </w:rPr>
        <w:t>упрощенную</w:t>
      </w:r>
      <w:r w:rsidRPr="00242870">
        <w:rPr>
          <w:szCs w:val="28"/>
        </w:rPr>
        <w:t xml:space="preserve"> систему налогообложения</w:t>
      </w:r>
      <w:r>
        <w:rPr>
          <w:szCs w:val="28"/>
        </w:rPr>
        <w:t xml:space="preserve">, в отношении следующих видов предпринимательской деятельности: </w:t>
      </w:r>
    </w:p>
    <w:p w:rsidR="005B690D" w:rsidRPr="00242870" w:rsidRDefault="005B690D" w:rsidP="005B690D">
      <w:pPr>
        <w:autoSpaceDE w:val="0"/>
        <w:autoSpaceDN w:val="0"/>
        <w:adjustRightInd w:val="0"/>
        <w:ind w:firstLine="709"/>
        <w:jc w:val="both"/>
        <w:rPr>
          <w:szCs w:val="28"/>
        </w:rPr>
      </w:pPr>
      <w:r w:rsidRPr="00242870">
        <w:rPr>
          <w:szCs w:val="28"/>
        </w:rPr>
        <w:t>1) сельское, лесное хозяйство, охота, рыболовство и рыбоводство;</w:t>
      </w:r>
    </w:p>
    <w:p w:rsidR="005B690D" w:rsidRPr="00242870" w:rsidRDefault="005B690D" w:rsidP="005B690D">
      <w:pPr>
        <w:autoSpaceDE w:val="0"/>
        <w:autoSpaceDN w:val="0"/>
        <w:adjustRightInd w:val="0"/>
        <w:ind w:firstLine="709"/>
        <w:jc w:val="both"/>
        <w:rPr>
          <w:szCs w:val="28"/>
        </w:rPr>
      </w:pPr>
      <w:r w:rsidRPr="00242870">
        <w:rPr>
          <w:szCs w:val="28"/>
        </w:rPr>
        <w:t>2) производство стекла и изделий из стекла;</w:t>
      </w:r>
    </w:p>
    <w:p w:rsidR="005B690D" w:rsidRPr="00242870" w:rsidRDefault="005B690D" w:rsidP="005B690D">
      <w:pPr>
        <w:autoSpaceDE w:val="0"/>
        <w:autoSpaceDN w:val="0"/>
        <w:adjustRightInd w:val="0"/>
        <w:ind w:firstLine="709"/>
        <w:jc w:val="both"/>
        <w:rPr>
          <w:szCs w:val="28"/>
        </w:rPr>
      </w:pPr>
      <w:r w:rsidRPr="00242870">
        <w:rPr>
          <w:szCs w:val="28"/>
        </w:rPr>
        <w:t>3) производство текстильных изделий;</w:t>
      </w:r>
    </w:p>
    <w:p w:rsidR="005B690D" w:rsidRPr="00242870" w:rsidRDefault="005B690D" w:rsidP="005B690D">
      <w:pPr>
        <w:autoSpaceDE w:val="0"/>
        <w:autoSpaceDN w:val="0"/>
        <w:adjustRightInd w:val="0"/>
        <w:ind w:firstLine="709"/>
        <w:jc w:val="both"/>
        <w:rPr>
          <w:szCs w:val="28"/>
        </w:rPr>
      </w:pPr>
      <w:r w:rsidRPr="00242870">
        <w:rPr>
          <w:szCs w:val="28"/>
        </w:rPr>
        <w:t>4) деятельность по уходу с обеспечением проживания;</w:t>
      </w:r>
    </w:p>
    <w:p w:rsidR="005B690D" w:rsidRPr="00242870" w:rsidRDefault="005B690D" w:rsidP="005B690D">
      <w:pPr>
        <w:autoSpaceDE w:val="0"/>
        <w:autoSpaceDN w:val="0"/>
        <w:adjustRightInd w:val="0"/>
        <w:ind w:firstLine="709"/>
        <w:jc w:val="both"/>
        <w:rPr>
          <w:szCs w:val="28"/>
        </w:rPr>
      </w:pPr>
      <w:r w:rsidRPr="00242870">
        <w:rPr>
          <w:szCs w:val="28"/>
        </w:rPr>
        <w:t>5) предоставление социальных услуг без обеспечения проживания;</w:t>
      </w:r>
    </w:p>
    <w:p w:rsidR="005B690D" w:rsidRDefault="005B690D" w:rsidP="005B690D">
      <w:pPr>
        <w:autoSpaceDE w:val="0"/>
        <w:autoSpaceDN w:val="0"/>
        <w:adjustRightInd w:val="0"/>
        <w:ind w:firstLine="709"/>
        <w:jc w:val="both"/>
        <w:rPr>
          <w:szCs w:val="28"/>
        </w:rPr>
      </w:pPr>
      <w:r w:rsidRPr="00242870">
        <w:rPr>
          <w:szCs w:val="28"/>
        </w:rPr>
        <w:lastRenderedPageBreak/>
        <w:t>6) научные исследования и разработки в области е</w:t>
      </w:r>
      <w:r>
        <w:rPr>
          <w:szCs w:val="28"/>
        </w:rPr>
        <w:t>стественных и технических наук.</w:t>
      </w:r>
    </w:p>
    <w:p w:rsidR="005B690D" w:rsidRDefault="005B690D" w:rsidP="005B690D">
      <w:pPr>
        <w:autoSpaceDE w:val="0"/>
        <w:autoSpaceDN w:val="0"/>
        <w:adjustRightInd w:val="0"/>
        <w:ind w:firstLine="709"/>
        <w:jc w:val="both"/>
        <w:rPr>
          <w:szCs w:val="28"/>
        </w:rPr>
      </w:pPr>
      <w:r w:rsidRPr="00242870">
        <w:rPr>
          <w:szCs w:val="28"/>
        </w:rPr>
        <w:t>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5B690D" w:rsidRDefault="005B690D" w:rsidP="005B690D">
      <w:pPr>
        <w:autoSpaceDE w:val="0"/>
        <w:autoSpaceDN w:val="0"/>
        <w:adjustRightInd w:val="0"/>
        <w:ind w:firstLine="709"/>
        <w:jc w:val="both"/>
        <w:rPr>
          <w:rStyle w:val="213pt0pt"/>
          <w:szCs w:val="28"/>
        </w:rPr>
      </w:pPr>
    </w:p>
    <w:p w:rsidR="005B690D" w:rsidRDefault="005B690D" w:rsidP="005B690D">
      <w:pPr>
        <w:ind w:firstLine="709"/>
        <w:jc w:val="center"/>
        <w:rPr>
          <w:b/>
          <w:szCs w:val="28"/>
        </w:rPr>
      </w:pPr>
      <w:r w:rsidRPr="00CB7F88">
        <w:rPr>
          <w:b/>
          <w:szCs w:val="28"/>
          <w:lang w:val="en-US"/>
        </w:rPr>
        <w:t>III</w:t>
      </w:r>
      <w:r w:rsidRPr="00CB7F88">
        <w:rPr>
          <w:b/>
          <w:szCs w:val="28"/>
        </w:rPr>
        <w:t>. Основные изменения в области налоговой политики Российской Федерации, планируемые к реализации в 201</w:t>
      </w:r>
      <w:r>
        <w:rPr>
          <w:b/>
          <w:szCs w:val="28"/>
        </w:rPr>
        <w:t>9</w:t>
      </w:r>
      <w:r w:rsidRPr="00CB7F88">
        <w:rPr>
          <w:b/>
          <w:szCs w:val="28"/>
        </w:rPr>
        <w:t xml:space="preserve"> году</w:t>
      </w:r>
    </w:p>
    <w:p w:rsidR="005B690D" w:rsidRPr="00CB7F88" w:rsidRDefault="005B690D" w:rsidP="005B690D">
      <w:pPr>
        <w:ind w:firstLine="709"/>
        <w:jc w:val="center"/>
        <w:rPr>
          <w:b/>
          <w:szCs w:val="28"/>
        </w:rPr>
      </w:pPr>
      <w:r w:rsidRPr="00CB7F88">
        <w:rPr>
          <w:b/>
          <w:szCs w:val="28"/>
        </w:rPr>
        <w:t xml:space="preserve"> и плановом периоде 20</w:t>
      </w:r>
      <w:r>
        <w:rPr>
          <w:b/>
          <w:szCs w:val="28"/>
        </w:rPr>
        <w:t>20</w:t>
      </w:r>
      <w:r w:rsidRPr="00CB7F88">
        <w:rPr>
          <w:b/>
          <w:szCs w:val="28"/>
        </w:rPr>
        <w:t xml:space="preserve"> и 202</w:t>
      </w:r>
      <w:r>
        <w:rPr>
          <w:b/>
          <w:szCs w:val="28"/>
        </w:rPr>
        <w:t>1</w:t>
      </w:r>
      <w:r w:rsidRPr="00CB7F88">
        <w:rPr>
          <w:b/>
          <w:szCs w:val="28"/>
        </w:rPr>
        <w:t xml:space="preserve"> годов </w:t>
      </w:r>
    </w:p>
    <w:p w:rsidR="005B690D" w:rsidRPr="009C1F41" w:rsidRDefault="005B690D" w:rsidP="00EE750C">
      <w:pPr>
        <w:ind w:firstLine="709"/>
        <w:jc w:val="center"/>
        <w:rPr>
          <w:b/>
          <w:szCs w:val="28"/>
          <w:highlight w:val="yellow"/>
        </w:rPr>
      </w:pPr>
    </w:p>
    <w:p w:rsidR="005B690D" w:rsidRDefault="005B690D" w:rsidP="00EE750C">
      <w:pPr>
        <w:autoSpaceDE w:val="0"/>
        <w:autoSpaceDN w:val="0"/>
        <w:adjustRightInd w:val="0"/>
        <w:ind w:firstLine="709"/>
        <w:jc w:val="both"/>
        <w:rPr>
          <w:szCs w:val="28"/>
        </w:rPr>
      </w:pPr>
      <w:r w:rsidRPr="00CB7F88">
        <w:rPr>
          <w:szCs w:val="28"/>
        </w:rPr>
        <w:t xml:space="preserve">В соответствии с проектом </w:t>
      </w:r>
      <w:r>
        <w:rPr>
          <w:szCs w:val="28"/>
        </w:rPr>
        <w:t>О</w:t>
      </w:r>
      <w:r w:rsidRPr="00AF4685">
        <w:rPr>
          <w:szCs w:val="28"/>
        </w:rPr>
        <w:t>сновны</w:t>
      </w:r>
      <w:r>
        <w:rPr>
          <w:szCs w:val="28"/>
        </w:rPr>
        <w:t>х</w:t>
      </w:r>
      <w:r w:rsidRPr="00AF4685">
        <w:rPr>
          <w:szCs w:val="28"/>
        </w:rPr>
        <w:t xml:space="preserve"> направлени</w:t>
      </w:r>
      <w:r>
        <w:rPr>
          <w:szCs w:val="28"/>
        </w:rPr>
        <w:t>й</w:t>
      </w:r>
      <w:r w:rsidRPr="00AF4685">
        <w:rPr>
          <w:szCs w:val="28"/>
        </w:rPr>
        <w:t xml:space="preserve"> бюджетной</w:t>
      </w:r>
      <w:r>
        <w:rPr>
          <w:szCs w:val="28"/>
        </w:rPr>
        <w:t xml:space="preserve">, налоговой и </w:t>
      </w:r>
      <w:r w:rsidRPr="00533B27">
        <w:rPr>
          <w:color w:val="000000"/>
          <w:szCs w:val="28"/>
        </w:rPr>
        <w:t>таможенно-тарифной</w:t>
      </w:r>
      <w:r w:rsidRPr="00AF4685">
        <w:rPr>
          <w:szCs w:val="28"/>
        </w:rPr>
        <w:t xml:space="preserve"> </w:t>
      </w:r>
      <w:r w:rsidRPr="0087665B">
        <w:rPr>
          <w:szCs w:val="28"/>
        </w:rPr>
        <w:t>политики Российской Федерации на 201</w:t>
      </w:r>
      <w:r>
        <w:rPr>
          <w:szCs w:val="28"/>
        </w:rPr>
        <w:t>9</w:t>
      </w:r>
      <w:r w:rsidRPr="0087665B">
        <w:rPr>
          <w:szCs w:val="28"/>
        </w:rPr>
        <w:t xml:space="preserve"> год и плановый период 20</w:t>
      </w:r>
      <w:r>
        <w:rPr>
          <w:szCs w:val="28"/>
        </w:rPr>
        <w:t>20</w:t>
      </w:r>
      <w:r w:rsidRPr="0087665B">
        <w:rPr>
          <w:szCs w:val="28"/>
        </w:rPr>
        <w:t xml:space="preserve"> и 202</w:t>
      </w:r>
      <w:r>
        <w:rPr>
          <w:szCs w:val="28"/>
        </w:rPr>
        <w:t>1</w:t>
      </w:r>
      <w:r w:rsidRPr="0087665B">
        <w:rPr>
          <w:szCs w:val="28"/>
        </w:rPr>
        <w:t xml:space="preserve"> годов</w:t>
      </w:r>
      <w:r>
        <w:rPr>
          <w:szCs w:val="28"/>
        </w:rPr>
        <w:t xml:space="preserve">, </w:t>
      </w:r>
      <w:r w:rsidRPr="0087665B">
        <w:rPr>
          <w:szCs w:val="28"/>
        </w:rPr>
        <w:t>Правительство</w:t>
      </w:r>
      <w:r>
        <w:rPr>
          <w:szCs w:val="28"/>
        </w:rPr>
        <w:t>м</w:t>
      </w:r>
      <w:r w:rsidRPr="0087665B">
        <w:rPr>
          <w:szCs w:val="28"/>
        </w:rPr>
        <w:t xml:space="preserve"> Российской Федерации </w:t>
      </w:r>
      <w:r>
        <w:rPr>
          <w:szCs w:val="28"/>
        </w:rPr>
        <w:t xml:space="preserve">предложено </w:t>
      </w:r>
      <w:r w:rsidRPr="0087665B">
        <w:rPr>
          <w:szCs w:val="28"/>
        </w:rPr>
        <w:t xml:space="preserve">в плановом периоде, кроме уже вышеназванных, </w:t>
      </w:r>
      <w:r>
        <w:rPr>
          <w:szCs w:val="28"/>
        </w:rPr>
        <w:t xml:space="preserve">следующие меры в </w:t>
      </w:r>
      <w:r w:rsidRPr="0087665B">
        <w:rPr>
          <w:szCs w:val="28"/>
        </w:rPr>
        <w:t>области налоговой политик</w:t>
      </w:r>
      <w:r>
        <w:rPr>
          <w:szCs w:val="28"/>
        </w:rPr>
        <w:t>и:</w:t>
      </w:r>
    </w:p>
    <w:p w:rsidR="005B690D" w:rsidRDefault="005B690D" w:rsidP="00EE750C">
      <w:pPr>
        <w:autoSpaceDE w:val="0"/>
        <w:autoSpaceDN w:val="0"/>
        <w:adjustRightInd w:val="0"/>
        <w:ind w:firstLine="709"/>
        <w:jc w:val="both"/>
        <w:rPr>
          <w:szCs w:val="28"/>
        </w:rPr>
      </w:pPr>
      <w:r>
        <w:rPr>
          <w:szCs w:val="28"/>
        </w:rPr>
        <w:t>- продление до 2024 года (было до 2020 года включительно) распределения налога на прибыль организаций между бюджетами из расчета 3% в федеральный бюджет, 17% в региональные бюджеты;</w:t>
      </w:r>
    </w:p>
    <w:p w:rsidR="005B690D" w:rsidRDefault="005B690D" w:rsidP="00EE750C">
      <w:pPr>
        <w:autoSpaceDE w:val="0"/>
        <w:autoSpaceDN w:val="0"/>
        <w:adjustRightInd w:val="0"/>
        <w:ind w:firstLine="709"/>
        <w:jc w:val="both"/>
        <w:rPr>
          <w:szCs w:val="28"/>
        </w:rPr>
      </w:pPr>
      <w:r>
        <w:rPr>
          <w:szCs w:val="28"/>
        </w:rPr>
        <w:t>- увеличение норматива зачисления акцизов</w:t>
      </w:r>
      <w:r w:rsidR="008C102A">
        <w:rPr>
          <w:szCs w:val="28"/>
        </w:rPr>
        <w:t xml:space="preserve"> на крепкий алкоголь</w:t>
      </w:r>
      <w:r>
        <w:rPr>
          <w:szCs w:val="28"/>
        </w:rPr>
        <w:t xml:space="preserve"> в бюджеты субъектов Российской Федерации с 50 % в 2018 году до 80% в 2019-2021 годах;</w:t>
      </w:r>
    </w:p>
    <w:p w:rsidR="005B690D" w:rsidRPr="002B1B99" w:rsidRDefault="005B690D" w:rsidP="00EE750C">
      <w:pPr>
        <w:autoSpaceDE w:val="0"/>
        <w:autoSpaceDN w:val="0"/>
        <w:adjustRightInd w:val="0"/>
        <w:ind w:firstLine="709"/>
        <w:jc w:val="both"/>
        <w:rPr>
          <w:szCs w:val="28"/>
        </w:rPr>
      </w:pPr>
      <w:r w:rsidRPr="002B1B99">
        <w:rPr>
          <w:szCs w:val="28"/>
        </w:rPr>
        <w:t>- ежегодное повышение на 1 руб. за литр ставок акцизов на вина, пиво, медовуху, начиная с 2020 года:</w:t>
      </w:r>
    </w:p>
    <w:p w:rsidR="005B690D" w:rsidRPr="002B1B99" w:rsidRDefault="005B690D" w:rsidP="00EE750C">
      <w:pPr>
        <w:autoSpaceDE w:val="0"/>
        <w:autoSpaceDN w:val="0"/>
        <w:adjustRightInd w:val="0"/>
        <w:ind w:firstLine="709"/>
        <w:jc w:val="both"/>
        <w:rPr>
          <w:szCs w:val="28"/>
        </w:rPr>
      </w:pPr>
      <w:r w:rsidRPr="002B1B99">
        <w:rPr>
          <w:szCs w:val="28"/>
        </w:rPr>
        <w:t>акцизы на вина 2018-2019 годы – 18 руб. за л., 2020 год – 19 руб. за л., 2021 год – 20 руб. за л.;</w:t>
      </w:r>
    </w:p>
    <w:p w:rsidR="005B690D" w:rsidRPr="002B1B99" w:rsidRDefault="005B690D" w:rsidP="00EE750C">
      <w:pPr>
        <w:autoSpaceDE w:val="0"/>
        <w:autoSpaceDN w:val="0"/>
        <w:adjustRightInd w:val="0"/>
        <w:ind w:firstLine="709"/>
        <w:jc w:val="both"/>
        <w:rPr>
          <w:szCs w:val="28"/>
        </w:rPr>
      </w:pPr>
      <w:r w:rsidRPr="002B1B99">
        <w:rPr>
          <w:szCs w:val="28"/>
        </w:rPr>
        <w:t>акцизы на пиво 2018-2019 годы – 21 руб. за л., 2020 год – 22 руб. за л., 2021 год – 23 руб. за л.;</w:t>
      </w:r>
    </w:p>
    <w:p w:rsidR="005B690D" w:rsidRDefault="005B690D" w:rsidP="00EE750C">
      <w:pPr>
        <w:autoSpaceDE w:val="0"/>
        <w:autoSpaceDN w:val="0"/>
        <w:adjustRightInd w:val="0"/>
        <w:ind w:firstLine="709"/>
        <w:jc w:val="both"/>
        <w:rPr>
          <w:szCs w:val="28"/>
        </w:rPr>
      </w:pPr>
      <w:r w:rsidRPr="002B1B99">
        <w:rPr>
          <w:szCs w:val="28"/>
        </w:rPr>
        <w:t>акцизы на медовуху 2018-2019 годы – 21 руб. за л., 2020 год – 22 руб. за л., 2021 год –23 руб. за л.;</w:t>
      </w:r>
    </w:p>
    <w:p w:rsidR="005B690D" w:rsidRDefault="005B690D" w:rsidP="00EE750C">
      <w:pPr>
        <w:autoSpaceDE w:val="0"/>
        <w:autoSpaceDN w:val="0"/>
        <w:adjustRightInd w:val="0"/>
        <w:ind w:firstLine="709"/>
        <w:jc w:val="both"/>
        <w:rPr>
          <w:color w:val="000000"/>
          <w:szCs w:val="28"/>
        </w:rPr>
      </w:pPr>
      <w:r w:rsidRPr="00FA2FEA">
        <w:rPr>
          <w:color w:val="000000"/>
          <w:szCs w:val="28"/>
        </w:rPr>
        <w:t>- сохранение на уровне, установленном действующим налоговым законодательством на 2019 - 2020 годы, ставок акцизов на крепкую алкогольную продукцию и ставок акцизов на моторные масла. Ставки акциза на крепкую алкогольную продукцию и моторные масла на 2021 год проиндексированы в соответствии с прогнозируемым уровнем инфляции (4%);</w:t>
      </w:r>
    </w:p>
    <w:p w:rsidR="005B690D" w:rsidRDefault="005B690D" w:rsidP="00EE750C">
      <w:pPr>
        <w:autoSpaceDE w:val="0"/>
        <w:autoSpaceDN w:val="0"/>
        <w:adjustRightInd w:val="0"/>
        <w:ind w:firstLine="709"/>
        <w:jc w:val="both"/>
        <w:rPr>
          <w:color w:val="000000"/>
          <w:szCs w:val="28"/>
        </w:rPr>
      </w:pPr>
      <w:r>
        <w:rPr>
          <w:color w:val="000000"/>
          <w:szCs w:val="28"/>
        </w:rPr>
        <w:t>- утверждение нового механизма расчета налоговой ставки акциза на прямогонный бензин, предусматривающий ежегодное увеличение действующей налоговой ставки (13 100 руб. за л.) на сумму 4 865 умноженную на корректирующий коэффициент (на 2019 год коэффициент равен 0,167, на 2020 год – 0,333, на 2021 год – 0,500);</w:t>
      </w:r>
    </w:p>
    <w:p w:rsidR="005B690D" w:rsidRDefault="005B690D" w:rsidP="00EE750C">
      <w:pPr>
        <w:autoSpaceDE w:val="0"/>
        <w:autoSpaceDN w:val="0"/>
        <w:adjustRightInd w:val="0"/>
        <w:ind w:firstLine="709"/>
        <w:jc w:val="both"/>
        <w:rPr>
          <w:color w:val="000000"/>
          <w:szCs w:val="28"/>
        </w:rPr>
      </w:pPr>
      <w:r>
        <w:rPr>
          <w:color w:val="000000"/>
          <w:szCs w:val="28"/>
        </w:rPr>
        <w:t xml:space="preserve">- возврат к ранее утвержденным </w:t>
      </w:r>
      <w:r w:rsidRPr="00564C46">
        <w:rPr>
          <w:color w:val="000000"/>
          <w:szCs w:val="28"/>
        </w:rPr>
        <w:t>налоговым законодательством на 201</w:t>
      </w:r>
      <w:r>
        <w:rPr>
          <w:color w:val="000000"/>
          <w:szCs w:val="28"/>
        </w:rPr>
        <w:t>9</w:t>
      </w:r>
      <w:r w:rsidRPr="00564C46">
        <w:rPr>
          <w:color w:val="000000"/>
          <w:szCs w:val="28"/>
        </w:rPr>
        <w:t xml:space="preserve"> - 20</w:t>
      </w:r>
      <w:r>
        <w:rPr>
          <w:color w:val="000000"/>
          <w:szCs w:val="28"/>
        </w:rPr>
        <w:t>20</w:t>
      </w:r>
      <w:r w:rsidRPr="00564C46">
        <w:rPr>
          <w:color w:val="000000"/>
          <w:szCs w:val="28"/>
        </w:rPr>
        <w:t xml:space="preserve"> годы</w:t>
      </w:r>
      <w:r>
        <w:rPr>
          <w:color w:val="000000"/>
          <w:szCs w:val="28"/>
        </w:rPr>
        <w:t xml:space="preserve"> </w:t>
      </w:r>
      <w:r w:rsidRPr="00564C46">
        <w:rPr>
          <w:color w:val="000000"/>
          <w:szCs w:val="28"/>
        </w:rPr>
        <w:t>ставк</w:t>
      </w:r>
      <w:r>
        <w:rPr>
          <w:color w:val="000000"/>
          <w:szCs w:val="28"/>
        </w:rPr>
        <w:t>ам</w:t>
      </w:r>
      <w:r w:rsidRPr="00564C46">
        <w:rPr>
          <w:color w:val="000000"/>
          <w:szCs w:val="28"/>
        </w:rPr>
        <w:t xml:space="preserve"> акциза </w:t>
      </w:r>
      <w:r>
        <w:rPr>
          <w:color w:val="000000"/>
          <w:szCs w:val="28"/>
        </w:rPr>
        <w:t xml:space="preserve">на автомобильный бензин и дизельное топливо (без учета изменений, внесенных </w:t>
      </w:r>
      <w:r w:rsidRPr="000E029B">
        <w:rPr>
          <w:color w:val="000000"/>
          <w:szCs w:val="28"/>
        </w:rPr>
        <w:t>Федеральны</w:t>
      </w:r>
      <w:r>
        <w:rPr>
          <w:color w:val="000000"/>
          <w:szCs w:val="28"/>
        </w:rPr>
        <w:t>м</w:t>
      </w:r>
      <w:r w:rsidRPr="000E029B">
        <w:rPr>
          <w:color w:val="000000"/>
          <w:szCs w:val="28"/>
        </w:rPr>
        <w:t xml:space="preserve"> закон</w:t>
      </w:r>
      <w:r>
        <w:rPr>
          <w:color w:val="000000"/>
          <w:szCs w:val="28"/>
        </w:rPr>
        <w:t>ом</w:t>
      </w:r>
      <w:r w:rsidRPr="000E029B">
        <w:rPr>
          <w:color w:val="000000"/>
          <w:szCs w:val="28"/>
        </w:rPr>
        <w:t xml:space="preserve"> от 19.07.2018 </w:t>
      </w:r>
      <w:r>
        <w:rPr>
          <w:color w:val="000000"/>
          <w:szCs w:val="28"/>
        </w:rPr>
        <w:t>№</w:t>
      </w:r>
      <w:r w:rsidRPr="000E029B">
        <w:rPr>
          <w:color w:val="000000"/>
          <w:szCs w:val="28"/>
        </w:rPr>
        <w:t xml:space="preserve"> 199-ФЗ</w:t>
      </w:r>
      <w:r>
        <w:rPr>
          <w:color w:val="000000"/>
          <w:szCs w:val="28"/>
        </w:rPr>
        <w:t xml:space="preserve"> «</w:t>
      </w:r>
      <w:r w:rsidRPr="000E029B">
        <w:rPr>
          <w:color w:val="000000"/>
          <w:szCs w:val="28"/>
        </w:rPr>
        <w:t>О внесении изменений в части первую и вторую Налогового кодекса Российской Федерации</w:t>
      </w:r>
      <w:r>
        <w:rPr>
          <w:color w:val="000000"/>
          <w:szCs w:val="28"/>
        </w:rPr>
        <w:t xml:space="preserve">», принятых в целях сдерживая роста цен на моторное топливо). </w:t>
      </w:r>
      <w:r w:rsidRPr="00564C46">
        <w:rPr>
          <w:color w:val="000000"/>
          <w:szCs w:val="28"/>
        </w:rPr>
        <w:t xml:space="preserve">Ставки акциза </w:t>
      </w:r>
      <w:r>
        <w:rPr>
          <w:color w:val="000000"/>
          <w:szCs w:val="28"/>
        </w:rPr>
        <w:t>на автомобильный бензин и дизельное топливо</w:t>
      </w:r>
      <w:r w:rsidRPr="00564C46">
        <w:rPr>
          <w:color w:val="000000"/>
          <w:szCs w:val="28"/>
        </w:rPr>
        <w:t xml:space="preserve"> на 202</w:t>
      </w:r>
      <w:r>
        <w:rPr>
          <w:color w:val="000000"/>
          <w:szCs w:val="28"/>
        </w:rPr>
        <w:t>1</w:t>
      </w:r>
      <w:r w:rsidRPr="00564C46">
        <w:rPr>
          <w:color w:val="000000"/>
          <w:szCs w:val="28"/>
        </w:rPr>
        <w:t xml:space="preserve"> год </w:t>
      </w:r>
      <w:r>
        <w:rPr>
          <w:color w:val="000000"/>
          <w:szCs w:val="28"/>
        </w:rPr>
        <w:t xml:space="preserve">также </w:t>
      </w:r>
      <w:r w:rsidRPr="00564C46">
        <w:rPr>
          <w:color w:val="000000"/>
          <w:szCs w:val="28"/>
        </w:rPr>
        <w:t>проиндексирова</w:t>
      </w:r>
      <w:r>
        <w:rPr>
          <w:color w:val="000000"/>
          <w:szCs w:val="28"/>
        </w:rPr>
        <w:t>ны</w:t>
      </w:r>
      <w:r w:rsidRPr="00564C46">
        <w:rPr>
          <w:color w:val="000000"/>
          <w:szCs w:val="28"/>
        </w:rPr>
        <w:t xml:space="preserve"> в соответствии с </w:t>
      </w:r>
      <w:r>
        <w:rPr>
          <w:color w:val="000000"/>
          <w:szCs w:val="28"/>
        </w:rPr>
        <w:t>прогнозируемым уровнем инфляции (4%);</w:t>
      </w:r>
    </w:p>
    <w:p w:rsidR="005B690D" w:rsidRDefault="005B690D" w:rsidP="00EE750C">
      <w:pPr>
        <w:autoSpaceDE w:val="0"/>
        <w:autoSpaceDN w:val="0"/>
        <w:adjustRightInd w:val="0"/>
        <w:ind w:firstLine="709"/>
        <w:jc w:val="both"/>
        <w:rPr>
          <w:szCs w:val="28"/>
        </w:rPr>
      </w:pPr>
      <w:r>
        <w:rPr>
          <w:color w:val="000000"/>
          <w:szCs w:val="28"/>
        </w:rPr>
        <w:lastRenderedPageBreak/>
        <w:t xml:space="preserve">- повышение </w:t>
      </w:r>
      <w:r>
        <w:rPr>
          <w:szCs w:val="28"/>
        </w:rPr>
        <w:t xml:space="preserve">с 1 января 2019 года минимального размера оплаты труда </w:t>
      </w:r>
      <w:r w:rsidR="008C102A">
        <w:rPr>
          <w:szCs w:val="28"/>
        </w:rPr>
        <w:br/>
      </w:r>
      <w:r>
        <w:rPr>
          <w:szCs w:val="28"/>
        </w:rPr>
        <w:t>до 11</w:t>
      </w:r>
      <w:r w:rsidR="008C102A">
        <w:rPr>
          <w:szCs w:val="28"/>
        </w:rPr>
        <w:t xml:space="preserve"> </w:t>
      </w:r>
      <w:r>
        <w:rPr>
          <w:szCs w:val="28"/>
        </w:rPr>
        <w:t>280 рублей в месяц;</w:t>
      </w:r>
    </w:p>
    <w:p w:rsidR="005B690D" w:rsidRDefault="005B690D" w:rsidP="00EE750C">
      <w:pPr>
        <w:ind w:firstLine="709"/>
        <w:jc w:val="both"/>
        <w:rPr>
          <w:szCs w:val="28"/>
        </w:rPr>
      </w:pPr>
      <w:r>
        <w:rPr>
          <w:szCs w:val="28"/>
        </w:rPr>
        <w:t>- освобождение налогового агента от ответственности, предусмотренной статьей 123 Налогового кодекса Российской Федерации, в случае, если им представлен в налоговый орган в установленный срок налоговый расчет (расчет по налогу), содержащий достоверные сведения, при отсутствии фактов не отражения или неполноты отражения в нем сведений и (или) ошибок, приводящих к занижению суммы налога, подлежащего перечислению в бюджетную систему Российской Федерации, и этим налоговым агентом самостоятельно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 перечислены в бюджетную систему Российской Федерации сумма налога, не перечисленная в установленный срок, и соответствующие пени;</w:t>
      </w:r>
    </w:p>
    <w:p w:rsidR="005B690D" w:rsidRDefault="005B690D" w:rsidP="00EE750C">
      <w:pPr>
        <w:autoSpaceDE w:val="0"/>
        <w:autoSpaceDN w:val="0"/>
        <w:adjustRightInd w:val="0"/>
        <w:ind w:firstLine="709"/>
        <w:jc w:val="both"/>
        <w:rPr>
          <w:szCs w:val="28"/>
        </w:rPr>
      </w:pPr>
      <w:r>
        <w:rPr>
          <w:szCs w:val="28"/>
        </w:rPr>
        <w:t xml:space="preserve">- исключение из объектов налогообложения по налогу на имущество организаций </w:t>
      </w:r>
      <w:r w:rsidRPr="00277A02">
        <w:rPr>
          <w:szCs w:val="28"/>
        </w:rPr>
        <w:t>всего движимого имущества</w:t>
      </w:r>
      <w:r>
        <w:rPr>
          <w:szCs w:val="28"/>
        </w:rPr>
        <w:t xml:space="preserve"> (с 01.01.2019)</w:t>
      </w:r>
      <w:r w:rsidRPr="00277A02">
        <w:rPr>
          <w:szCs w:val="28"/>
        </w:rPr>
        <w:t xml:space="preserve">; </w:t>
      </w:r>
    </w:p>
    <w:p w:rsidR="005B690D" w:rsidRDefault="005B690D" w:rsidP="00EE750C">
      <w:pPr>
        <w:autoSpaceDE w:val="0"/>
        <w:autoSpaceDN w:val="0"/>
        <w:adjustRightInd w:val="0"/>
        <w:ind w:firstLine="709"/>
        <w:jc w:val="both"/>
        <w:rPr>
          <w:szCs w:val="28"/>
        </w:rPr>
      </w:pPr>
      <w:r>
        <w:rPr>
          <w:szCs w:val="28"/>
        </w:rPr>
        <w:t>- ограничение десятью процентами рост налога на имущество физических лиц;</w:t>
      </w:r>
    </w:p>
    <w:p w:rsidR="005B690D" w:rsidRDefault="005B690D" w:rsidP="00EE750C">
      <w:pPr>
        <w:autoSpaceDE w:val="0"/>
        <w:autoSpaceDN w:val="0"/>
        <w:adjustRightInd w:val="0"/>
        <w:ind w:firstLine="709"/>
        <w:jc w:val="both"/>
        <w:rPr>
          <w:szCs w:val="28"/>
        </w:rPr>
      </w:pPr>
      <w:r w:rsidRPr="00D223E2">
        <w:rPr>
          <w:szCs w:val="28"/>
        </w:rPr>
        <w:t xml:space="preserve">- </w:t>
      </w:r>
      <w:r>
        <w:rPr>
          <w:szCs w:val="28"/>
        </w:rPr>
        <w:t>увеличение размера налогового вычета по земельному налогу (на величину кадастровой стоимости 600 кв. м.) и расширение перечня категорий граждан, имеющих право на такой вычет (добавлена категория «пенсионеры»)</w:t>
      </w:r>
      <w:r w:rsidRPr="00D223E2">
        <w:rPr>
          <w:szCs w:val="28"/>
        </w:rPr>
        <w:t xml:space="preserve"> </w:t>
      </w:r>
      <w:r>
        <w:rPr>
          <w:szCs w:val="28"/>
        </w:rPr>
        <w:t>в соответствии с Федеральным законом от 28.12.2017 №</w:t>
      </w:r>
      <w:r w:rsidR="008C102A">
        <w:rPr>
          <w:szCs w:val="28"/>
        </w:rPr>
        <w:t xml:space="preserve"> </w:t>
      </w:r>
      <w:r>
        <w:rPr>
          <w:szCs w:val="28"/>
        </w:rPr>
        <w:t>436-ФЗ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B690D" w:rsidRPr="00DB0B47" w:rsidRDefault="005B690D" w:rsidP="00EE750C">
      <w:pPr>
        <w:shd w:val="clear" w:color="auto" w:fill="FFFFFF"/>
        <w:ind w:firstLine="709"/>
        <w:jc w:val="both"/>
        <w:rPr>
          <w:rFonts w:ascii="Open Sans" w:hAnsi="Open Sans" w:cs="Arial"/>
          <w:szCs w:val="28"/>
        </w:rPr>
      </w:pPr>
      <w:r>
        <w:rPr>
          <w:rFonts w:ascii="Open Sans" w:hAnsi="Open Sans" w:cs="Arial"/>
          <w:szCs w:val="28"/>
        </w:rPr>
        <w:t xml:space="preserve">- </w:t>
      </w:r>
      <w:r w:rsidRPr="00DB0B47">
        <w:rPr>
          <w:rFonts w:ascii="Open Sans" w:hAnsi="Open Sans" w:cs="Arial"/>
          <w:szCs w:val="28"/>
        </w:rPr>
        <w:t>реализаци</w:t>
      </w:r>
      <w:r>
        <w:rPr>
          <w:rFonts w:ascii="Open Sans" w:hAnsi="Open Sans" w:cs="Arial"/>
          <w:szCs w:val="28"/>
        </w:rPr>
        <w:t>я</w:t>
      </w:r>
      <w:r w:rsidRPr="00DB0B47">
        <w:rPr>
          <w:rFonts w:ascii="Open Sans" w:hAnsi="Open Sans" w:cs="Arial"/>
          <w:szCs w:val="28"/>
        </w:rPr>
        <w:t xml:space="preserve"> комплекса мер по улучшению администрирования доходов бюджетной системы,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w:t>
      </w:r>
      <w:r>
        <w:rPr>
          <w:rFonts w:ascii="Open Sans" w:hAnsi="Open Sans" w:cs="Arial"/>
          <w:szCs w:val="28"/>
        </w:rPr>
        <w:t>огий обработки больших массивов;</w:t>
      </w:r>
    </w:p>
    <w:p w:rsidR="005B690D" w:rsidRDefault="005B690D" w:rsidP="00EE750C">
      <w:pPr>
        <w:pStyle w:val="af5"/>
        <w:shd w:val="clear" w:color="auto" w:fill="FFFFFF"/>
        <w:spacing w:before="0" w:beforeAutospacing="0" w:after="0" w:afterAutospacing="0"/>
        <w:ind w:firstLine="709"/>
        <w:jc w:val="both"/>
        <w:rPr>
          <w:bCs/>
          <w:color w:val="000000"/>
          <w:sz w:val="28"/>
          <w:szCs w:val="28"/>
        </w:rPr>
      </w:pPr>
      <w:r>
        <w:rPr>
          <w:bCs/>
          <w:color w:val="000000"/>
          <w:sz w:val="28"/>
          <w:szCs w:val="28"/>
        </w:rPr>
        <w:t xml:space="preserve">- </w:t>
      </w:r>
      <w:r w:rsidRPr="00322257">
        <w:rPr>
          <w:bCs/>
          <w:color w:val="000000"/>
          <w:sz w:val="28"/>
          <w:szCs w:val="28"/>
        </w:rPr>
        <w:t>меры налоговой политики, направленные на облегчение администрирования и снижение административных издержек, в том числе:</w:t>
      </w:r>
    </w:p>
    <w:p w:rsidR="005B690D" w:rsidRPr="00DB0B47" w:rsidRDefault="005B690D" w:rsidP="00EE750C">
      <w:pPr>
        <w:shd w:val="clear" w:color="auto" w:fill="FFFFFF"/>
        <w:ind w:firstLine="709"/>
        <w:jc w:val="both"/>
        <w:rPr>
          <w:rFonts w:ascii="Open Sans" w:hAnsi="Open Sans" w:cs="Arial"/>
          <w:szCs w:val="28"/>
        </w:rPr>
      </w:pPr>
      <w:r>
        <w:rPr>
          <w:rFonts w:ascii="Open Sans" w:hAnsi="Open Sans" w:cs="Arial"/>
          <w:szCs w:val="28"/>
        </w:rPr>
        <w:t>в</w:t>
      </w:r>
      <w:r w:rsidRPr="00DB0B47">
        <w:rPr>
          <w:rFonts w:ascii="Open Sans" w:hAnsi="Open Sans" w:cs="Arial"/>
          <w:szCs w:val="28"/>
        </w:rPr>
        <w:t xml:space="preserve"> целях снижения затрат организаций и физических лиц, связанных с открытием бизнеса, а также стимулирования использования электронных сервисов предлагается снизить размер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5B690D" w:rsidRDefault="005B690D" w:rsidP="00EE750C">
      <w:pPr>
        <w:shd w:val="clear" w:color="auto" w:fill="FFFFFF"/>
        <w:ind w:firstLine="709"/>
        <w:jc w:val="both"/>
        <w:rPr>
          <w:rFonts w:ascii="Open Sans" w:hAnsi="Open Sans" w:cs="Arial"/>
          <w:szCs w:val="28"/>
        </w:rPr>
      </w:pPr>
      <w:r w:rsidRPr="003B1A96">
        <w:rPr>
          <w:rFonts w:ascii="Open Sans" w:hAnsi="Open Sans" w:cs="Arial"/>
          <w:szCs w:val="28"/>
        </w:rPr>
        <w:t>о</w:t>
      </w:r>
      <w:r w:rsidRPr="00DB0B47">
        <w:rPr>
          <w:rFonts w:ascii="Open Sans" w:hAnsi="Open Sans" w:cs="Arial"/>
          <w:szCs w:val="28"/>
        </w:rPr>
        <w:t>тмена обязанности представления налоговой декларации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«он-лайн».</w:t>
      </w:r>
    </w:p>
    <w:p w:rsidR="005B690D" w:rsidRPr="00AB7F58" w:rsidRDefault="00EE750C" w:rsidP="00EE750C">
      <w:pPr>
        <w:pStyle w:val="a6"/>
        <w:autoSpaceDE w:val="0"/>
        <w:autoSpaceDN w:val="0"/>
        <w:adjustRightInd w:val="0"/>
        <w:ind w:left="0" w:firstLine="709"/>
        <w:jc w:val="both"/>
        <w:rPr>
          <w:rFonts w:eastAsiaTheme="minorHAnsi"/>
          <w:szCs w:val="28"/>
          <w:lang w:eastAsia="en-US"/>
        </w:rPr>
      </w:pPr>
      <w:r>
        <w:rPr>
          <w:rFonts w:ascii="Open Sans" w:hAnsi="Open Sans" w:cs="Arial"/>
          <w:szCs w:val="28"/>
        </w:rPr>
        <w:t xml:space="preserve"> </w:t>
      </w:r>
      <w:r w:rsidR="005B690D" w:rsidRPr="00AB7F58">
        <w:rPr>
          <w:rFonts w:ascii="Open Sans" w:hAnsi="Open Sans" w:cs="Arial"/>
          <w:szCs w:val="28"/>
        </w:rPr>
        <w:t xml:space="preserve">предоставление физическим лицам права по уплате платежей, регулируемых </w:t>
      </w:r>
      <w:r w:rsidR="005B690D">
        <w:rPr>
          <w:rFonts w:ascii="Open Sans" w:hAnsi="Open Sans" w:cs="Arial"/>
          <w:szCs w:val="28"/>
        </w:rPr>
        <w:t>НК РФ</w:t>
      </w:r>
      <w:r w:rsidR="005B690D" w:rsidRPr="00AB7F58">
        <w:rPr>
          <w:rFonts w:ascii="Open Sans" w:hAnsi="Open Sans" w:cs="Arial"/>
          <w:szCs w:val="28"/>
        </w:rPr>
        <w:t xml:space="preserve">, через </w:t>
      </w:r>
      <w:r w:rsidR="005B690D" w:rsidRPr="00AB7F58">
        <w:rPr>
          <w:color w:val="000000"/>
          <w:szCs w:val="28"/>
        </w:rPr>
        <w:t xml:space="preserve">многофункциональные центры </w:t>
      </w:r>
      <w:r w:rsidR="005B690D" w:rsidRPr="005422A1">
        <w:rPr>
          <w:color w:val="000000"/>
          <w:szCs w:val="28"/>
        </w:rPr>
        <w:t>(</w:t>
      </w:r>
      <w:r w:rsidR="005B690D" w:rsidRPr="005422A1">
        <w:rPr>
          <w:rFonts w:ascii="Open Sans" w:hAnsi="Open Sans" w:cs="Arial"/>
          <w:szCs w:val="28"/>
        </w:rPr>
        <w:t>МФЦ</w:t>
      </w:r>
      <w:r w:rsidR="005B690D" w:rsidRPr="00AB7F58">
        <w:rPr>
          <w:rFonts w:ascii="Open Sans" w:hAnsi="Open Sans" w:cs="Arial"/>
          <w:szCs w:val="28"/>
          <w:u w:val="single"/>
        </w:rPr>
        <w:t>)</w:t>
      </w:r>
      <w:r w:rsidR="005B690D" w:rsidRPr="00AB7F58">
        <w:rPr>
          <w:rFonts w:eastAsiaTheme="minorHAnsi"/>
          <w:szCs w:val="28"/>
          <w:lang w:eastAsia="en-US"/>
        </w:rPr>
        <w:t xml:space="preserve">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5B690D" w:rsidRPr="001D5BCC" w:rsidRDefault="005B690D" w:rsidP="005B690D">
      <w:pPr>
        <w:pStyle w:val="a3"/>
        <w:ind w:firstLine="709"/>
        <w:jc w:val="both"/>
        <w:rPr>
          <w:rFonts w:ascii="Times New Roman" w:hAnsi="Times New Roman" w:cs="Times New Roman"/>
          <w:sz w:val="28"/>
          <w:szCs w:val="28"/>
        </w:rPr>
      </w:pPr>
      <w:r w:rsidRPr="001D5BCC">
        <w:rPr>
          <w:rFonts w:ascii="Times New Roman" w:hAnsi="Times New Roman" w:cs="Times New Roman"/>
          <w:sz w:val="28"/>
          <w:szCs w:val="28"/>
        </w:rPr>
        <w:lastRenderedPageBreak/>
        <w:t xml:space="preserve">На 2019-2021 годы прогнозируется увеличение поступления акцизов на товары, производимые на территории Российской Федерации, в результате передачи части акцизов из федерального бюджета в бюджеты субъектов Российской Федерации: </w:t>
      </w:r>
    </w:p>
    <w:p w:rsidR="005B690D" w:rsidRPr="001D5BCC" w:rsidRDefault="00EE750C" w:rsidP="005B690D">
      <w:pPr>
        <w:tabs>
          <w:tab w:val="right" w:pos="9355"/>
        </w:tabs>
        <w:ind w:firstLine="709"/>
        <w:jc w:val="both"/>
        <w:rPr>
          <w:szCs w:val="28"/>
        </w:rPr>
      </w:pPr>
      <w:r>
        <w:rPr>
          <w:szCs w:val="28"/>
        </w:rPr>
        <w:t>н</w:t>
      </w:r>
      <w:r w:rsidR="005B690D" w:rsidRPr="001D5BCC">
        <w:rPr>
          <w:szCs w:val="28"/>
        </w:rPr>
        <w:t>орматив зачисления акцизов на алкогольную продукцию с объемной долей этилового спирта свыше 9 процентов в бюджеты субъектов Российской Федерации с 2019 года повысится с 50 до 80 процентов;</w:t>
      </w:r>
    </w:p>
    <w:p w:rsidR="005B690D" w:rsidRPr="001D5BCC" w:rsidRDefault="005B690D" w:rsidP="005B690D">
      <w:pPr>
        <w:tabs>
          <w:tab w:val="right" w:pos="9355"/>
        </w:tabs>
        <w:ind w:firstLine="709"/>
        <w:jc w:val="both"/>
        <w:rPr>
          <w:szCs w:val="28"/>
        </w:rPr>
      </w:pPr>
      <w:r w:rsidRPr="001D5BCC">
        <w:rPr>
          <w:szCs w:val="28"/>
        </w:rPr>
        <w:t>норматив зачисления в региональные бюджеты акцизов на нефтепродукты постепенно будет увеличиваться</w:t>
      </w:r>
      <w:r>
        <w:rPr>
          <w:szCs w:val="28"/>
        </w:rPr>
        <w:t>,</w:t>
      </w:r>
      <w:r w:rsidRPr="001D5BCC">
        <w:rPr>
          <w:szCs w:val="28"/>
        </w:rPr>
        <w:t xml:space="preserve"> начиная с 2020 года (2019 год – 58,1%, 2020 год – 66,6%, 2021 год 74,9%) и к 2024 году будет доведен до 100%</w:t>
      </w:r>
    </w:p>
    <w:p w:rsidR="005B690D" w:rsidRDefault="005B690D">
      <w:pPr>
        <w:spacing w:after="200" w:line="276" w:lineRule="auto"/>
        <w:rPr>
          <w:b/>
          <w:szCs w:val="28"/>
        </w:rPr>
      </w:pPr>
      <w:r>
        <w:rPr>
          <w:b/>
          <w:szCs w:val="28"/>
        </w:rPr>
        <w:br w:type="page"/>
      </w:r>
    </w:p>
    <w:p w:rsidR="005B690D" w:rsidRDefault="005B690D" w:rsidP="0024166B">
      <w:pPr>
        <w:spacing w:before="120" w:after="120"/>
        <w:jc w:val="center"/>
        <w:rPr>
          <w:b/>
          <w:szCs w:val="28"/>
        </w:rPr>
      </w:pPr>
    </w:p>
    <w:p w:rsidR="0024166B" w:rsidRPr="00DE3CC3" w:rsidRDefault="000072FF" w:rsidP="0024166B">
      <w:pPr>
        <w:spacing w:before="120" w:after="120"/>
        <w:jc w:val="center"/>
        <w:rPr>
          <w:b/>
          <w:szCs w:val="28"/>
        </w:rPr>
      </w:pPr>
      <w:r>
        <w:rPr>
          <w:b/>
          <w:szCs w:val="28"/>
        </w:rPr>
        <w:t>Направление 2. Б</w:t>
      </w:r>
      <w:r w:rsidR="0024166B" w:rsidRPr="00DE3CC3">
        <w:rPr>
          <w:b/>
          <w:szCs w:val="28"/>
        </w:rPr>
        <w:t>юджетн</w:t>
      </w:r>
      <w:r>
        <w:rPr>
          <w:b/>
          <w:szCs w:val="28"/>
        </w:rPr>
        <w:t>ая</w:t>
      </w:r>
      <w:r w:rsidR="0024166B" w:rsidRPr="00DE3CC3">
        <w:rPr>
          <w:b/>
          <w:szCs w:val="28"/>
        </w:rPr>
        <w:t xml:space="preserve"> политик</w:t>
      </w:r>
      <w:r>
        <w:rPr>
          <w:b/>
          <w:szCs w:val="28"/>
        </w:rPr>
        <w:t>а</w:t>
      </w:r>
      <w:r w:rsidR="0024166B" w:rsidRPr="00DE3CC3">
        <w:rPr>
          <w:b/>
          <w:szCs w:val="28"/>
        </w:rPr>
        <w:t xml:space="preserve"> Тверской области на 201</w:t>
      </w:r>
      <w:r w:rsidR="00400602">
        <w:rPr>
          <w:b/>
          <w:szCs w:val="28"/>
        </w:rPr>
        <w:t>9</w:t>
      </w:r>
      <w:r w:rsidR="0024166B" w:rsidRPr="00DE3CC3">
        <w:rPr>
          <w:b/>
          <w:szCs w:val="28"/>
        </w:rPr>
        <w:t xml:space="preserve"> год и на план</w:t>
      </w:r>
      <w:r w:rsidR="00400602">
        <w:rPr>
          <w:b/>
          <w:szCs w:val="28"/>
        </w:rPr>
        <w:t>овый период 2020</w:t>
      </w:r>
      <w:r w:rsidR="0024166B" w:rsidRPr="00DE3CC3">
        <w:rPr>
          <w:b/>
          <w:szCs w:val="28"/>
        </w:rPr>
        <w:t xml:space="preserve"> и 20</w:t>
      </w:r>
      <w:r w:rsidR="00400602">
        <w:rPr>
          <w:b/>
          <w:szCs w:val="28"/>
        </w:rPr>
        <w:t>21</w:t>
      </w:r>
      <w:r w:rsidR="0024166B" w:rsidRPr="00DE3CC3">
        <w:rPr>
          <w:b/>
          <w:szCs w:val="28"/>
        </w:rPr>
        <w:t xml:space="preserve"> годов</w:t>
      </w:r>
    </w:p>
    <w:p w:rsidR="00FE0B9F" w:rsidRPr="00424B97" w:rsidRDefault="00FE0B9F" w:rsidP="00AF4685">
      <w:pPr>
        <w:pStyle w:val="a3"/>
        <w:jc w:val="both"/>
        <w:rPr>
          <w:rFonts w:ascii="Times New Roman" w:hAnsi="Times New Roman" w:cs="Times New Roman"/>
          <w:b/>
          <w:sz w:val="28"/>
          <w:szCs w:val="28"/>
          <w:highlight w:val="yellow"/>
        </w:rPr>
      </w:pPr>
    </w:p>
    <w:p w:rsidR="009A7FC2" w:rsidRPr="00DE3CC3" w:rsidRDefault="00685779" w:rsidP="00FF4BBB">
      <w:pPr>
        <w:pStyle w:val="a3"/>
        <w:jc w:val="center"/>
        <w:rPr>
          <w:rFonts w:ascii="Times New Roman" w:hAnsi="Times New Roman" w:cs="Times New Roman"/>
          <w:b/>
          <w:sz w:val="28"/>
          <w:szCs w:val="28"/>
        </w:rPr>
      </w:pPr>
      <w:r w:rsidRPr="004340C7">
        <w:rPr>
          <w:rFonts w:ascii="Times New Roman" w:hAnsi="Times New Roman" w:cs="Times New Roman"/>
          <w:b/>
          <w:sz w:val="28"/>
          <w:szCs w:val="28"/>
        </w:rPr>
        <w:t>Р</w:t>
      </w:r>
      <w:r w:rsidR="009A7FC2" w:rsidRPr="004340C7">
        <w:rPr>
          <w:rFonts w:ascii="Times New Roman" w:hAnsi="Times New Roman" w:cs="Times New Roman"/>
          <w:b/>
          <w:sz w:val="28"/>
          <w:szCs w:val="28"/>
        </w:rPr>
        <w:t xml:space="preserve">аздел </w:t>
      </w:r>
      <w:r w:rsidR="009A7FC2" w:rsidRPr="004340C7">
        <w:rPr>
          <w:rFonts w:ascii="Times New Roman" w:hAnsi="Times New Roman" w:cs="Times New Roman"/>
          <w:b/>
          <w:sz w:val="28"/>
          <w:szCs w:val="28"/>
          <w:lang w:val="en-US"/>
        </w:rPr>
        <w:t>I</w:t>
      </w:r>
      <w:r w:rsidR="009A7FC2" w:rsidRPr="004340C7">
        <w:rPr>
          <w:rFonts w:ascii="Times New Roman" w:hAnsi="Times New Roman" w:cs="Times New Roman"/>
          <w:b/>
          <w:sz w:val="28"/>
          <w:szCs w:val="28"/>
        </w:rPr>
        <w:t>. Итоги реализации бюджетной политики в 201</w:t>
      </w:r>
      <w:r w:rsidR="008C5203" w:rsidRPr="004340C7">
        <w:rPr>
          <w:rFonts w:ascii="Times New Roman" w:hAnsi="Times New Roman" w:cs="Times New Roman"/>
          <w:b/>
          <w:sz w:val="28"/>
          <w:szCs w:val="28"/>
        </w:rPr>
        <w:t>7</w:t>
      </w:r>
      <w:r w:rsidR="00122881" w:rsidRPr="004340C7">
        <w:rPr>
          <w:rFonts w:ascii="Times New Roman" w:hAnsi="Times New Roman" w:cs="Times New Roman"/>
          <w:b/>
          <w:sz w:val="28"/>
          <w:szCs w:val="28"/>
        </w:rPr>
        <w:t xml:space="preserve"> </w:t>
      </w:r>
      <w:r w:rsidR="00FE3872" w:rsidRPr="004340C7">
        <w:rPr>
          <w:rFonts w:ascii="Times New Roman" w:hAnsi="Times New Roman" w:cs="Times New Roman"/>
          <w:b/>
          <w:sz w:val="28"/>
          <w:szCs w:val="28"/>
        </w:rPr>
        <w:t>-</w:t>
      </w:r>
      <w:r w:rsidR="00122881" w:rsidRPr="004340C7">
        <w:rPr>
          <w:rFonts w:ascii="Times New Roman" w:hAnsi="Times New Roman" w:cs="Times New Roman"/>
          <w:b/>
          <w:sz w:val="28"/>
          <w:szCs w:val="28"/>
        </w:rPr>
        <w:t xml:space="preserve"> </w:t>
      </w:r>
      <w:r w:rsidR="009A7FC2" w:rsidRPr="004340C7">
        <w:rPr>
          <w:rFonts w:ascii="Times New Roman" w:hAnsi="Times New Roman" w:cs="Times New Roman"/>
          <w:b/>
          <w:sz w:val="28"/>
          <w:szCs w:val="28"/>
        </w:rPr>
        <w:t>201</w:t>
      </w:r>
      <w:r w:rsidR="008C5203" w:rsidRPr="004340C7">
        <w:rPr>
          <w:rFonts w:ascii="Times New Roman" w:hAnsi="Times New Roman" w:cs="Times New Roman"/>
          <w:b/>
          <w:sz w:val="28"/>
          <w:szCs w:val="28"/>
        </w:rPr>
        <w:t>8</w:t>
      </w:r>
      <w:r w:rsidR="009A7FC2" w:rsidRPr="004340C7">
        <w:rPr>
          <w:rFonts w:ascii="Times New Roman" w:hAnsi="Times New Roman" w:cs="Times New Roman"/>
          <w:b/>
          <w:sz w:val="28"/>
          <w:szCs w:val="28"/>
        </w:rPr>
        <w:t xml:space="preserve"> год</w:t>
      </w:r>
      <w:r w:rsidR="00FE3872" w:rsidRPr="004340C7">
        <w:rPr>
          <w:rFonts w:ascii="Times New Roman" w:hAnsi="Times New Roman" w:cs="Times New Roman"/>
          <w:b/>
          <w:sz w:val="28"/>
          <w:szCs w:val="28"/>
        </w:rPr>
        <w:t>ах</w:t>
      </w:r>
      <w:r w:rsidR="009A7FC2" w:rsidRPr="004340C7">
        <w:rPr>
          <w:rFonts w:ascii="Times New Roman" w:hAnsi="Times New Roman" w:cs="Times New Roman"/>
          <w:b/>
          <w:sz w:val="28"/>
          <w:szCs w:val="28"/>
        </w:rPr>
        <w:t>, обзор бюджетной ситуации.</w:t>
      </w:r>
    </w:p>
    <w:p w:rsidR="0035467D" w:rsidRDefault="0035467D" w:rsidP="00CC319E">
      <w:pPr>
        <w:pStyle w:val="a3"/>
        <w:ind w:firstLine="709"/>
        <w:jc w:val="both"/>
        <w:rPr>
          <w:rFonts w:ascii="Times New Roman" w:hAnsi="Times New Roman" w:cs="Times New Roman"/>
          <w:b/>
          <w:sz w:val="28"/>
          <w:szCs w:val="28"/>
        </w:rPr>
      </w:pPr>
    </w:p>
    <w:p w:rsidR="003148E2" w:rsidRPr="003148E2" w:rsidRDefault="003148E2" w:rsidP="003148E2">
      <w:pPr>
        <w:ind w:firstLine="709"/>
        <w:jc w:val="both"/>
        <w:rPr>
          <w:b/>
          <w:bCs/>
          <w:szCs w:val="28"/>
        </w:rPr>
      </w:pPr>
      <w:r w:rsidRPr="003148E2">
        <w:rPr>
          <w:b/>
          <w:i/>
          <w:szCs w:val="28"/>
        </w:rPr>
        <w:t>Доходная часть.</w:t>
      </w:r>
      <w:r w:rsidRPr="003148E2">
        <w:rPr>
          <w:szCs w:val="28"/>
        </w:rPr>
        <w:t xml:space="preserve"> Объем налоговых и неналоговых доходов консолидированного бюджета Тверской области утвержден на 2018 год (по состоянию на 01.09.2018) в размере 55 306</w:t>
      </w:r>
      <w:r w:rsidRPr="003148E2">
        <w:rPr>
          <w:bCs/>
          <w:szCs w:val="28"/>
        </w:rPr>
        <w:t xml:space="preserve"> </w:t>
      </w:r>
      <w:r w:rsidRPr="003148E2">
        <w:rPr>
          <w:szCs w:val="28"/>
        </w:rPr>
        <w:t>млн руб. или 103,5% к доходам консолидированного бюджета за 2017 год (по состоянию на 01.09.2017</w:t>
      </w:r>
      <w:r w:rsidR="001A5F1F">
        <w:rPr>
          <w:szCs w:val="28"/>
        </w:rPr>
        <w:t xml:space="preserve"> </w:t>
      </w:r>
      <w:r w:rsidRPr="003148E2">
        <w:rPr>
          <w:szCs w:val="28"/>
        </w:rPr>
        <w:t xml:space="preserve">г.), в том числе доходы областного бюджета Тверской области на 2018 год составляют                 42 195 млн руб. или 103,6% к доходам областного бюджета за 2017 год. </w:t>
      </w:r>
      <w:r w:rsidRPr="003148E2">
        <w:rPr>
          <w:b/>
          <w:bCs/>
          <w:szCs w:val="28"/>
        </w:rPr>
        <w:t xml:space="preserve"> </w:t>
      </w:r>
    </w:p>
    <w:p w:rsidR="003148E2" w:rsidRPr="003148E2" w:rsidRDefault="003148E2" w:rsidP="003148E2">
      <w:pPr>
        <w:tabs>
          <w:tab w:val="right" w:pos="9355"/>
        </w:tabs>
        <w:ind w:firstLine="709"/>
        <w:jc w:val="both"/>
        <w:rPr>
          <w:szCs w:val="28"/>
        </w:rPr>
      </w:pPr>
      <w:r w:rsidRPr="003148E2">
        <w:rPr>
          <w:szCs w:val="28"/>
        </w:rPr>
        <w:t>По итогам 8 месяцев 2018 года по сравнению с аналогичным периодом 2017 года отмечается рост доходов консолидированного бюджета Тверской области на 4 241 млн руб., в том числе областного бюджета Тверской области на 3 874 млн руб.</w:t>
      </w:r>
    </w:p>
    <w:p w:rsidR="003148E2" w:rsidRPr="003148E2" w:rsidRDefault="003148E2" w:rsidP="003148E2">
      <w:pPr>
        <w:tabs>
          <w:tab w:val="right" w:pos="9355"/>
        </w:tabs>
        <w:ind w:firstLine="709"/>
        <w:jc w:val="both"/>
        <w:rPr>
          <w:szCs w:val="28"/>
        </w:rPr>
      </w:pPr>
      <w:r w:rsidRPr="003148E2">
        <w:rPr>
          <w:szCs w:val="28"/>
        </w:rPr>
        <w:t>Рост поступлений сложился за счет положительной динамики поступления доходов в консолидированный бюджет Тверской области:</w:t>
      </w:r>
    </w:p>
    <w:p w:rsidR="003148E2" w:rsidRPr="003148E2" w:rsidRDefault="003148E2" w:rsidP="003148E2">
      <w:pPr>
        <w:tabs>
          <w:tab w:val="right" w:pos="9355"/>
        </w:tabs>
        <w:ind w:firstLine="709"/>
        <w:jc w:val="both"/>
        <w:rPr>
          <w:szCs w:val="28"/>
        </w:rPr>
      </w:pPr>
      <w:r w:rsidRPr="003148E2">
        <w:rPr>
          <w:szCs w:val="28"/>
        </w:rPr>
        <w:t>- по налогу на прибыль организаций (+ 2 271 млн руб.);</w:t>
      </w:r>
    </w:p>
    <w:p w:rsidR="003148E2" w:rsidRPr="003148E2" w:rsidRDefault="003148E2" w:rsidP="003148E2">
      <w:pPr>
        <w:tabs>
          <w:tab w:val="right" w:pos="9355"/>
        </w:tabs>
        <w:ind w:firstLine="709"/>
        <w:jc w:val="both"/>
        <w:rPr>
          <w:szCs w:val="28"/>
        </w:rPr>
      </w:pPr>
      <w:r w:rsidRPr="003148E2">
        <w:rPr>
          <w:szCs w:val="28"/>
        </w:rPr>
        <w:t>- по налогу на доходы физических лиц (+ 1 083 млн руб.);</w:t>
      </w:r>
    </w:p>
    <w:p w:rsidR="003148E2" w:rsidRPr="003148E2" w:rsidRDefault="003148E2" w:rsidP="003148E2">
      <w:pPr>
        <w:tabs>
          <w:tab w:val="right" w:pos="9355"/>
        </w:tabs>
        <w:ind w:firstLine="709"/>
        <w:jc w:val="both"/>
        <w:rPr>
          <w:szCs w:val="28"/>
        </w:rPr>
      </w:pPr>
      <w:r w:rsidRPr="003148E2">
        <w:rPr>
          <w:szCs w:val="28"/>
        </w:rPr>
        <w:t>- по налогам со специальными налоговыми режимами (упрощенная система налогообложения, единый сельскохозяйственный налог, патентная система налогообложения (УСН, ЕСХН, патенты) (+ 365 млн руб.);</w:t>
      </w:r>
    </w:p>
    <w:p w:rsidR="003148E2" w:rsidRPr="003148E2" w:rsidRDefault="003148E2" w:rsidP="003148E2">
      <w:pPr>
        <w:tabs>
          <w:tab w:val="right" w:pos="9355"/>
        </w:tabs>
        <w:ind w:firstLine="709"/>
        <w:jc w:val="both"/>
        <w:rPr>
          <w:szCs w:val="28"/>
        </w:rPr>
      </w:pPr>
      <w:r w:rsidRPr="003148E2">
        <w:rPr>
          <w:szCs w:val="28"/>
        </w:rPr>
        <w:t>- по налогу на имущество организаций (+ 359 млн руб.);</w:t>
      </w:r>
    </w:p>
    <w:p w:rsidR="003148E2" w:rsidRPr="003148E2" w:rsidRDefault="003148E2" w:rsidP="003148E2">
      <w:pPr>
        <w:tabs>
          <w:tab w:val="right" w:pos="9355"/>
        </w:tabs>
        <w:ind w:firstLine="709"/>
        <w:jc w:val="both"/>
        <w:rPr>
          <w:szCs w:val="28"/>
        </w:rPr>
      </w:pPr>
      <w:r w:rsidRPr="003148E2">
        <w:rPr>
          <w:szCs w:val="28"/>
        </w:rPr>
        <w:t>- по доходам от уплаты акцизов на нефтепродукты (дизельное топливо, моторные масла, автомобильный бензин, прямогонный бензин) (+ 173 млн руб.);</w:t>
      </w:r>
    </w:p>
    <w:p w:rsidR="003148E2" w:rsidRPr="003148E2" w:rsidRDefault="003148E2" w:rsidP="003148E2">
      <w:pPr>
        <w:tabs>
          <w:tab w:val="right" w:pos="9355"/>
        </w:tabs>
        <w:ind w:firstLine="709"/>
        <w:jc w:val="both"/>
        <w:rPr>
          <w:szCs w:val="28"/>
        </w:rPr>
      </w:pPr>
      <w:r w:rsidRPr="003148E2">
        <w:rPr>
          <w:szCs w:val="28"/>
        </w:rPr>
        <w:t>- по доходам от использования имущества, находящегося в государственной и муниципальной собственности (+168 млн руб.);</w:t>
      </w:r>
    </w:p>
    <w:p w:rsidR="003148E2" w:rsidRPr="003148E2" w:rsidRDefault="003148E2" w:rsidP="003148E2">
      <w:pPr>
        <w:tabs>
          <w:tab w:val="right" w:pos="9355"/>
        </w:tabs>
        <w:ind w:firstLine="709"/>
        <w:jc w:val="both"/>
        <w:rPr>
          <w:szCs w:val="28"/>
        </w:rPr>
      </w:pPr>
      <w:r w:rsidRPr="003148E2">
        <w:rPr>
          <w:szCs w:val="28"/>
        </w:rPr>
        <w:t>- по земельному налогу с физических лиц (+20 млн руб.);</w:t>
      </w:r>
    </w:p>
    <w:p w:rsidR="003148E2" w:rsidRPr="003148E2" w:rsidRDefault="003148E2" w:rsidP="003148E2">
      <w:pPr>
        <w:tabs>
          <w:tab w:val="right" w:pos="9355"/>
        </w:tabs>
        <w:ind w:firstLine="709"/>
        <w:jc w:val="both"/>
        <w:rPr>
          <w:szCs w:val="28"/>
        </w:rPr>
      </w:pPr>
      <w:r w:rsidRPr="003148E2">
        <w:rPr>
          <w:szCs w:val="28"/>
        </w:rPr>
        <w:t>- по плате за использование лесов (+70 млн руб.).</w:t>
      </w:r>
    </w:p>
    <w:p w:rsidR="003148E2" w:rsidRPr="00D92BB6" w:rsidRDefault="003148E2" w:rsidP="003148E2">
      <w:pPr>
        <w:tabs>
          <w:tab w:val="right" w:pos="9355"/>
        </w:tabs>
        <w:ind w:firstLine="709"/>
        <w:jc w:val="both"/>
        <w:rPr>
          <w:szCs w:val="28"/>
        </w:rPr>
      </w:pPr>
      <w:r w:rsidRPr="003148E2">
        <w:rPr>
          <w:szCs w:val="28"/>
        </w:rPr>
        <w:t>Основной прирост доходов приходится по налогам на прибыль организаций и на доходы физических лиц. Следует отметить, что на рост поступления налога на прибыль в том числе оказали влияние поступления от АО «Атомэнергопром», увеличение составило на 1 178 млн руб.</w:t>
      </w:r>
      <w:r w:rsidRPr="00D92BB6">
        <w:rPr>
          <w:szCs w:val="28"/>
        </w:rPr>
        <w:t xml:space="preserve"> </w:t>
      </w:r>
    </w:p>
    <w:p w:rsidR="005B690D" w:rsidRDefault="005B690D" w:rsidP="005B690D">
      <w:pPr>
        <w:tabs>
          <w:tab w:val="right" w:pos="9355"/>
        </w:tabs>
        <w:ind w:firstLine="709"/>
        <w:jc w:val="both"/>
        <w:rPr>
          <w:szCs w:val="28"/>
        </w:rPr>
      </w:pPr>
      <w:r>
        <w:rPr>
          <w:szCs w:val="28"/>
        </w:rPr>
        <w:t>Увеличение поступления налога на доходы физических лиц связано с ростом фонда заработной платы (далее – ФЗП) на 2,8 процентных пункта (107,1% по состоянию на 01.09.2018) по отношению к прогнозируемому Министерством экономического развития Тверской области ФЗП по состоянию на 01.01.2018 (104,3%).</w:t>
      </w:r>
    </w:p>
    <w:p w:rsidR="005B690D" w:rsidRDefault="005B690D" w:rsidP="005B690D">
      <w:pPr>
        <w:pStyle w:val="ConsPlusNormal"/>
        <w:spacing w:line="276" w:lineRule="auto"/>
        <w:ind w:firstLine="709"/>
        <w:jc w:val="both"/>
      </w:pPr>
      <w:r w:rsidRPr="00D92BB6">
        <w:t>На постоянной основе проводится работа по оздоровлению государственных</w:t>
      </w:r>
      <w:r>
        <w:t xml:space="preserve"> финансов в Тверской области </w:t>
      </w:r>
      <w:r w:rsidRPr="00907B06">
        <w:t>в сфере повышения собираемости налоговых и неналоговых доходов, совершенствования управления долговыми обязательствами</w:t>
      </w:r>
      <w:r>
        <w:t xml:space="preserve"> и</w:t>
      </w:r>
      <w:r w:rsidRPr="00907B06">
        <w:t xml:space="preserve"> оптимизации расходов областного и местных бюджетов</w:t>
      </w:r>
      <w:r>
        <w:t>.</w:t>
      </w:r>
    </w:p>
    <w:p w:rsidR="005B690D" w:rsidRPr="0048723C" w:rsidRDefault="005B690D" w:rsidP="005B690D">
      <w:pPr>
        <w:tabs>
          <w:tab w:val="right" w:pos="9355"/>
        </w:tabs>
        <w:ind w:firstLine="709"/>
        <w:jc w:val="both"/>
        <w:rPr>
          <w:szCs w:val="28"/>
          <w:highlight w:val="yellow"/>
        </w:rPr>
      </w:pPr>
      <w:r w:rsidRPr="00400357">
        <w:t>По итогам реализации П</w:t>
      </w:r>
      <w:r w:rsidRPr="00400357">
        <w:rPr>
          <w:szCs w:val="28"/>
        </w:rPr>
        <w:t xml:space="preserve">лана мероприятий по росту доходов консолидированного бюджета Тверской области, оптимизации расходов </w:t>
      </w:r>
      <w:r w:rsidRPr="00400357">
        <w:rPr>
          <w:szCs w:val="28"/>
        </w:rPr>
        <w:lastRenderedPageBreak/>
        <w:t xml:space="preserve">консолидированного бюджета Тверской области и сокращению государственного долга Тверской области на 2016-2019 годы от 18.10.2016, за </w:t>
      </w:r>
      <w:r w:rsidRPr="00400357">
        <w:t>1 полугодие 2018 года дополнительно поступило доходов в консолидированный</w:t>
      </w:r>
      <w:r>
        <w:t xml:space="preserve"> бюджет Тверской области в сумме 398 млн руб., из них:</w:t>
      </w:r>
    </w:p>
    <w:p w:rsidR="005B690D" w:rsidRPr="00B52AE3" w:rsidRDefault="005B690D" w:rsidP="005B690D">
      <w:pPr>
        <w:tabs>
          <w:tab w:val="right" w:pos="9355"/>
        </w:tabs>
        <w:ind w:firstLine="709"/>
        <w:jc w:val="both"/>
        <w:rPr>
          <w:szCs w:val="28"/>
        </w:rPr>
      </w:pPr>
      <w:r w:rsidRPr="00B52AE3">
        <w:rPr>
          <w:szCs w:val="28"/>
        </w:rPr>
        <w:t xml:space="preserve">- 128 млн. руб. </w:t>
      </w:r>
      <w:r>
        <w:rPr>
          <w:szCs w:val="28"/>
        </w:rPr>
        <w:t xml:space="preserve"> </w:t>
      </w:r>
      <w:r w:rsidRPr="00B52AE3">
        <w:rPr>
          <w:szCs w:val="28"/>
        </w:rPr>
        <w:t xml:space="preserve">погашение задолженности в результате работы, проводимой межведомственными комиссиями, комиссиями по легализации налоговой базы, образованными при Правительстве Тверской области, налоговых органах, органах местного самоуправления Тверской области; </w:t>
      </w:r>
    </w:p>
    <w:p w:rsidR="005B690D" w:rsidRPr="00B52AE3" w:rsidRDefault="005B690D" w:rsidP="005B690D">
      <w:pPr>
        <w:tabs>
          <w:tab w:val="right" w:pos="9355"/>
        </w:tabs>
        <w:ind w:firstLine="709"/>
        <w:jc w:val="both"/>
        <w:rPr>
          <w:szCs w:val="28"/>
        </w:rPr>
      </w:pPr>
      <w:r w:rsidRPr="00B52AE3">
        <w:rPr>
          <w:szCs w:val="28"/>
        </w:rPr>
        <w:t xml:space="preserve">- 266 млн руб. поступило в результате принятия мер, направленных на пресечение использования труда нелегальных мигрантов в трудовых отношениях на территории Тверской области. Управлением по вопросам миграции УМВД России по Тверской области по состоянию на 1 июля 2018 года выдано 9 504 патента для осуществления иностранными гражданами трудовой деятельности по найму; </w:t>
      </w:r>
    </w:p>
    <w:p w:rsidR="005B690D" w:rsidRDefault="005B690D" w:rsidP="005B690D">
      <w:pPr>
        <w:ind w:firstLine="709"/>
        <w:jc w:val="both"/>
        <w:rPr>
          <w:szCs w:val="28"/>
        </w:rPr>
      </w:pPr>
      <w:r w:rsidRPr="00B52AE3">
        <w:rPr>
          <w:szCs w:val="28"/>
        </w:rPr>
        <w:t>- 4 млн руб. - в результате активизации</w:t>
      </w:r>
      <w:r>
        <w:rPr>
          <w:szCs w:val="28"/>
        </w:rPr>
        <w:t xml:space="preserve"> </w:t>
      </w:r>
      <w:r w:rsidRPr="00C31FE9">
        <w:rPr>
          <w:szCs w:val="28"/>
        </w:rPr>
        <w:t xml:space="preserve">претензионно-исковой работы </w:t>
      </w:r>
      <w:r>
        <w:rPr>
          <w:szCs w:val="28"/>
        </w:rPr>
        <w:t>главных администраторов доходов</w:t>
      </w:r>
      <w:r w:rsidRPr="00C31FE9">
        <w:t xml:space="preserve"> </w:t>
      </w:r>
      <w:r w:rsidRPr="00C31FE9">
        <w:rPr>
          <w:szCs w:val="28"/>
        </w:rPr>
        <w:t>по взысканию задолженности по арендной плате за землю и имущество, находящиеся в государственной и муниципальной собственности</w:t>
      </w:r>
      <w:r>
        <w:rPr>
          <w:szCs w:val="28"/>
        </w:rPr>
        <w:t>;</w:t>
      </w:r>
      <w:r w:rsidRPr="00A91D83">
        <w:rPr>
          <w:szCs w:val="28"/>
        </w:rPr>
        <w:t xml:space="preserve"> </w:t>
      </w:r>
    </w:p>
    <w:p w:rsidR="005B690D" w:rsidRDefault="005B690D" w:rsidP="005B690D">
      <w:pPr>
        <w:ind w:firstLine="709"/>
        <w:jc w:val="both"/>
        <w:rPr>
          <w:szCs w:val="28"/>
        </w:rPr>
      </w:pPr>
      <w:r>
        <w:rPr>
          <w:szCs w:val="28"/>
        </w:rPr>
        <w:t>Продолжается работа по реализации мероприятий, направленных</w:t>
      </w:r>
      <w:r w:rsidRPr="00101807">
        <w:rPr>
          <w:szCs w:val="28"/>
        </w:rPr>
        <w:t xml:space="preserve"> </w:t>
      </w:r>
      <w:r>
        <w:rPr>
          <w:szCs w:val="28"/>
        </w:rPr>
        <w:t xml:space="preserve">на расширение </w:t>
      </w:r>
      <w:r w:rsidRPr="00A91D83">
        <w:rPr>
          <w:szCs w:val="28"/>
        </w:rPr>
        <w:t>налоговой базы</w:t>
      </w:r>
      <w:r>
        <w:rPr>
          <w:szCs w:val="28"/>
        </w:rPr>
        <w:t xml:space="preserve"> по налогу на имущество организаций:</w:t>
      </w:r>
    </w:p>
    <w:p w:rsidR="005B690D" w:rsidRPr="00101807" w:rsidRDefault="005B690D" w:rsidP="005B690D">
      <w:pPr>
        <w:ind w:firstLine="709"/>
        <w:jc w:val="both"/>
        <w:rPr>
          <w:color w:val="000000"/>
          <w:szCs w:val="28"/>
        </w:rPr>
      </w:pPr>
      <w:r>
        <w:rPr>
          <w:szCs w:val="28"/>
        </w:rPr>
        <w:t xml:space="preserve">- </w:t>
      </w:r>
      <w:r w:rsidRPr="00A91D83">
        <w:rPr>
          <w:szCs w:val="28"/>
        </w:rPr>
        <w:t>за счет реализации инвестиционных проектов на территории области. В 1 полугодии 2018 года реализовано 4 инвестиционных проекта:</w:t>
      </w:r>
      <w:r>
        <w:rPr>
          <w:szCs w:val="28"/>
        </w:rPr>
        <w:t xml:space="preserve"> </w:t>
      </w:r>
      <w:r w:rsidRPr="00A91D83">
        <w:rPr>
          <w:szCs w:val="28"/>
        </w:rPr>
        <w:t xml:space="preserve">ООО «Гекса – нетканые материалы» – строительство цеха по производству одноразовых хирургических комплектов, одежды и белья из многослойных нетканых материалов собственного производства (Торопецкий район),  ОАО «Сибур-ПЭТФ» </w:t>
      </w:r>
      <w:r w:rsidRPr="00A91D83">
        <w:rPr>
          <w:color w:val="000000"/>
          <w:szCs w:val="28"/>
        </w:rPr>
        <w:t>–</w:t>
      </w:r>
      <w:r w:rsidRPr="00A91D83">
        <w:rPr>
          <w:szCs w:val="28"/>
        </w:rPr>
        <w:t xml:space="preserve"> реконструкция очистных сооружений промышленных стоков (г. Тверь), </w:t>
      </w:r>
      <w:r w:rsidRPr="00A91D83">
        <w:rPr>
          <w:color w:val="000000"/>
          <w:szCs w:val="28"/>
        </w:rPr>
        <w:t>АО «Лихославльавтодор» – строительство ангара для производства и хранения железобетонных конструкций и изделий (Лихославльский район), ООО «Любятино-1» – строительство завода по производству биотоплива и</w:t>
      </w:r>
      <w:r>
        <w:rPr>
          <w:color w:val="000000"/>
          <w:szCs w:val="28"/>
        </w:rPr>
        <w:t>з древесины (</w:t>
      </w:r>
      <w:r w:rsidRPr="00101807">
        <w:rPr>
          <w:color w:val="000000"/>
          <w:szCs w:val="28"/>
        </w:rPr>
        <w:t>Нелидовский район);</w:t>
      </w:r>
    </w:p>
    <w:p w:rsidR="005B690D" w:rsidRPr="00101807" w:rsidRDefault="005B690D" w:rsidP="005B690D">
      <w:pPr>
        <w:shd w:val="clear" w:color="auto" w:fill="FFFFFF"/>
        <w:ind w:firstLine="709"/>
        <w:jc w:val="both"/>
        <w:rPr>
          <w:szCs w:val="28"/>
        </w:rPr>
      </w:pPr>
      <w:r w:rsidRPr="00101807">
        <w:rPr>
          <w:color w:val="000000"/>
          <w:szCs w:val="28"/>
        </w:rPr>
        <w:t xml:space="preserve">- за счет введения в эксплуатацию объектов незавершенного строительства </w:t>
      </w:r>
      <w:r>
        <w:rPr>
          <w:color w:val="000000"/>
          <w:szCs w:val="28"/>
        </w:rPr>
        <w:t xml:space="preserve"> </w:t>
      </w:r>
      <w:r w:rsidRPr="00101807">
        <w:rPr>
          <w:color w:val="000000"/>
          <w:szCs w:val="28"/>
        </w:rPr>
        <w:t>(в 2017 году</w:t>
      </w:r>
      <w:r>
        <w:rPr>
          <w:color w:val="000000"/>
          <w:szCs w:val="28"/>
        </w:rPr>
        <w:t xml:space="preserve"> введен </w:t>
      </w:r>
      <w:r w:rsidRPr="00101807">
        <w:rPr>
          <w:szCs w:val="28"/>
        </w:rPr>
        <w:t xml:space="preserve">в эксплуатацию 1 объект </w:t>
      </w:r>
      <w:r>
        <w:rPr>
          <w:szCs w:val="28"/>
        </w:rPr>
        <w:t xml:space="preserve">- </w:t>
      </w:r>
      <w:r w:rsidRPr="00101807">
        <w:rPr>
          <w:szCs w:val="28"/>
        </w:rPr>
        <w:t>реконструкция моста через р.Уйвешь у пос</w:t>
      </w:r>
      <w:r>
        <w:rPr>
          <w:szCs w:val="28"/>
        </w:rPr>
        <w:t>елка</w:t>
      </w:r>
      <w:r w:rsidRPr="00101807">
        <w:rPr>
          <w:szCs w:val="28"/>
        </w:rPr>
        <w:t xml:space="preserve"> Сулежский Борок в Бежецком районе, в 2018 году планируется в ввод</w:t>
      </w:r>
      <w:r>
        <w:rPr>
          <w:szCs w:val="28"/>
        </w:rPr>
        <w:t xml:space="preserve"> в эксплуатацию 4 объекта:</w:t>
      </w:r>
      <w:r w:rsidRPr="00101807">
        <w:rPr>
          <w:szCs w:val="28"/>
        </w:rPr>
        <w:t xml:space="preserve"> реконструкция моста через р. Лойка д. Дмитровка на км 195+600 автомобильной дороги общего пользования регионального значения Тверь – Бежецк – Весьегонск – Устюжна в Краснохолмском районе; реконструкция автомобильной дороги общего пользования межмуниципального значения «Москва - Санкт-Петербург» - Чуприяновка - Старый Погост с устройством пересечения в разных уровнях с Октябрьской железной дорогой в Калининском районе; реконструкция моста через р. Песка на 10 км автомобильной дороги общего пользования регионального значения «Москва - Рига» - Торопец - Плоскошь в Торопецком районе; реконструкция автомобильной дороги «Подъезд к пос. Шоша» в границах туристско-рекреационного кластера «Верхневолжский»</w:t>
      </w:r>
      <w:r>
        <w:rPr>
          <w:szCs w:val="28"/>
        </w:rPr>
        <w:t>)</w:t>
      </w:r>
      <w:r w:rsidRPr="00101807">
        <w:rPr>
          <w:szCs w:val="28"/>
        </w:rPr>
        <w:t>.</w:t>
      </w:r>
    </w:p>
    <w:p w:rsidR="005B690D" w:rsidRPr="0011705D" w:rsidRDefault="005B690D" w:rsidP="005B690D">
      <w:pPr>
        <w:tabs>
          <w:tab w:val="right" w:pos="9355"/>
        </w:tabs>
        <w:ind w:firstLine="709"/>
        <w:jc w:val="both"/>
        <w:rPr>
          <w:szCs w:val="28"/>
        </w:rPr>
      </w:pPr>
      <w:r w:rsidRPr="0011705D">
        <w:rPr>
          <w:szCs w:val="28"/>
        </w:rPr>
        <w:t xml:space="preserve">Проведена оценка эффективности налоговых льгот, предоставленных законодательством Тверской области за 2017 год по региональным налогам. По результатам проведенной оценки эффективности налоговых льгот установлено, что льгота по транспортному налогу в виде снижения суммы налога на 70 % для налогоплательщиков – юридических лиц, выполняющих согласно перечню, утвержденному Правительством Тверской области, мобилизационное задание по </w:t>
      </w:r>
      <w:r w:rsidRPr="0011705D">
        <w:rPr>
          <w:szCs w:val="28"/>
        </w:rPr>
        <w:lastRenderedPageBreak/>
        <w:t>формированию, содержанию и поставке автоколонн войскового типа для Вооруженных Сил Российской Федерации неэффективна (сумма льготы составила 22 тыс. руб.)</w:t>
      </w:r>
      <w:r>
        <w:rPr>
          <w:szCs w:val="28"/>
        </w:rPr>
        <w:t>.</w:t>
      </w:r>
      <w:r w:rsidRPr="0011705D">
        <w:rPr>
          <w:szCs w:val="28"/>
        </w:rPr>
        <w:t xml:space="preserve"> </w:t>
      </w:r>
    </w:p>
    <w:p w:rsidR="005B690D" w:rsidRDefault="005B690D" w:rsidP="005B690D">
      <w:pPr>
        <w:tabs>
          <w:tab w:val="right" w:pos="9355"/>
        </w:tabs>
        <w:ind w:firstLine="709"/>
        <w:jc w:val="both"/>
        <w:rPr>
          <w:szCs w:val="28"/>
        </w:rPr>
      </w:pPr>
      <w:r>
        <w:rPr>
          <w:szCs w:val="28"/>
        </w:rPr>
        <w:t>М</w:t>
      </w:r>
      <w:r w:rsidRPr="0086481D">
        <w:rPr>
          <w:szCs w:val="28"/>
        </w:rPr>
        <w:t>униципальными образованиями Тверской области</w:t>
      </w:r>
      <w:r>
        <w:rPr>
          <w:szCs w:val="28"/>
        </w:rPr>
        <w:t xml:space="preserve"> на постоянной основе проводится работа:</w:t>
      </w:r>
    </w:p>
    <w:p w:rsidR="005B690D" w:rsidRDefault="005B690D" w:rsidP="005B690D">
      <w:pPr>
        <w:tabs>
          <w:tab w:val="right" w:pos="9355"/>
        </w:tabs>
        <w:ind w:firstLine="709"/>
        <w:jc w:val="both"/>
        <w:rPr>
          <w:szCs w:val="28"/>
        </w:rPr>
      </w:pPr>
      <w:r>
        <w:rPr>
          <w:szCs w:val="28"/>
        </w:rPr>
        <w:t>-</w:t>
      </w:r>
      <w:r w:rsidRPr="0086481D">
        <w:rPr>
          <w:szCs w:val="28"/>
        </w:rPr>
        <w:t xml:space="preserve"> </w:t>
      </w:r>
      <w:r>
        <w:rPr>
          <w:szCs w:val="28"/>
        </w:rPr>
        <w:t xml:space="preserve">по </w:t>
      </w:r>
      <w:r w:rsidRPr="0086481D">
        <w:rPr>
          <w:szCs w:val="28"/>
        </w:rPr>
        <w:t>выявлен</w:t>
      </w:r>
      <w:r>
        <w:rPr>
          <w:szCs w:val="28"/>
        </w:rPr>
        <w:t xml:space="preserve">ию в рамках муниципального земельного контроля земельных участков сельскохозяйственного назначения, используемых не по целевому назначению, в целях применения к ним повышенной ставки земельного налога 1,5%. За 1 полугодие 2018 года выявлено 725 земельных участков, используемых не по целевому назначению, из них в отношении 113 земельных участков применена повышенная ставка налога. </w:t>
      </w:r>
    </w:p>
    <w:p w:rsidR="005B690D" w:rsidRDefault="005B690D" w:rsidP="005B690D">
      <w:pPr>
        <w:tabs>
          <w:tab w:val="right" w:pos="9355"/>
        </w:tabs>
        <w:ind w:firstLine="709"/>
        <w:jc w:val="both"/>
        <w:rPr>
          <w:szCs w:val="28"/>
        </w:rPr>
      </w:pPr>
      <w:r>
        <w:rPr>
          <w:szCs w:val="28"/>
        </w:rPr>
        <w:t>- по выявлению объектов недвижимости по налогу на имущество физических лиц (дома, квартиры, помещения и т.д.) и по налогу на имущество организаций (здания, строения, сооружения и т.д.), не поставленных ранее на налоговый учет. За 1 полугодие 2018 года органами местного самоуправления Тверской области выявлено более 2 тыс. объектов недвижимости на имущество физических лиц, из них по 533 объектам права собственности</w:t>
      </w:r>
      <w:r w:rsidRPr="009B6655">
        <w:rPr>
          <w:szCs w:val="28"/>
        </w:rPr>
        <w:t xml:space="preserve"> </w:t>
      </w:r>
      <w:r>
        <w:rPr>
          <w:szCs w:val="28"/>
        </w:rPr>
        <w:t xml:space="preserve">были зарегистрированы.  </w:t>
      </w:r>
    </w:p>
    <w:p w:rsidR="005B690D" w:rsidRDefault="005B690D" w:rsidP="005B690D">
      <w:pPr>
        <w:pStyle w:val="af5"/>
        <w:spacing w:before="0" w:beforeAutospacing="0" w:after="0" w:afterAutospacing="0"/>
        <w:ind w:firstLine="709"/>
        <w:jc w:val="both"/>
        <w:rPr>
          <w:rFonts w:eastAsia="+mn-ea"/>
          <w:color w:val="000000"/>
          <w:kern w:val="24"/>
          <w:sz w:val="28"/>
          <w:szCs w:val="28"/>
        </w:rPr>
      </w:pPr>
      <w:r w:rsidRPr="004D1809">
        <w:rPr>
          <w:szCs w:val="28"/>
        </w:rPr>
        <w:t xml:space="preserve">- </w:t>
      </w:r>
      <w:r w:rsidRPr="004D1809">
        <w:rPr>
          <w:sz w:val="28"/>
          <w:szCs w:val="28"/>
        </w:rPr>
        <w:t xml:space="preserve">по выявлению организаций, </w:t>
      </w:r>
      <w:r w:rsidRPr="004D1809">
        <w:rPr>
          <w:rFonts w:eastAsia="+mn-ea"/>
          <w:color w:val="000000"/>
          <w:kern w:val="24"/>
          <w:sz w:val="28"/>
          <w:szCs w:val="28"/>
        </w:rPr>
        <w:t>индивидуальных предпринимателей, выплачивающих заработную плату ниже минимального размера оплаты труда</w:t>
      </w:r>
      <w:r>
        <w:rPr>
          <w:rFonts w:eastAsia="+mn-ea"/>
          <w:color w:val="000000"/>
          <w:kern w:val="24"/>
          <w:sz w:val="28"/>
          <w:szCs w:val="28"/>
        </w:rPr>
        <w:t xml:space="preserve"> (далее - МРОТ) </w:t>
      </w:r>
      <w:r w:rsidRPr="004D1809">
        <w:rPr>
          <w:rFonts w:eastAsia="+mn-ea"/>
          <w:color w:val="000000"/>
          <w:kern w:val="24"/>
          <w:sz w:val="28"/>
          <w:szCs w:val="28"/>
        </w:rPr>
        <w:t>или среднеотраслевого значения</w:t>
      </w:r>
      <w:r>
        <w:rPr>
          <w:rFonts w:eastAsia="+mn-ea"/>
          <w:color w:val="000000"/>
          <w:kern w:val="24"/>
          <w:sz w:val="28"/>
          <w:szCs w:val="28"/>
        </w:rPr>
        <w:t>. По итогам 1 полугодия 2018 года</w:t>
      </w:r>
      <w:r w:rsidRPr="00EA1D51">
        <w:rPr>
          <w:rFonts w:eastAsia="+mn-ea"/>
          <w:color w:val="000000"/>
          <w:kern w:val="24"/>
          <w:sz w:val="28"/>
          <w:szCs w:val="28"/>
        </w:rPr>
        <w:t xml:space="preserve"> на заседаниях межведомственной комиссии по укреплению налоговой и бюджетной дисциплины с участием налоговых органов рассмотрен</w:t>
      </w:r>
      <w:r>
        <w:rPr>
          <w:rFonts w:eastAsia="+mn-ea"/>
          <w:color w:val="000000"/>
          <w:kern w:val="24"/>
          <w:sz w:val="28"/>
          <w:szCs w:val="28"/>
        </w:rPr>
        <w:t>а</w:t>
      </w:r>
      <w:r w:rsidRPr="00EA1D51">
        <w:rPr>
          <w:rFonts w:eastAsia="+mn-ea"/>
          <w:color w:val="000000"/>
          <w:kern w:val="24"/>
          <w:sz w:val="28"/>
          <w:szCs w:val="28"/>
        </w:rPr>
        <w:t xml:space="preserve"> 291 организаци</w:t>
      </w:r>
      <w:r>
        <w:rPr>
          <w:rFonts w:eastAsia="+mn-ea"/>
          <w:color w:val="000000"/>
          <w:kern w:val="24"/>
          <w:sz w:val="28"/>
          <w:szCs w:val="28"/>
        </w:rPr>
        <w:t>я</w:t>
      </w:r>
      <w:r w:rsidRPr="00EA1D51">
        <w:rPr>
          <w:rFonts w:eastAsia="+mn-ea"/>
          <w:color w:val="000000"/>
          <w:kern w:val="24"/>
          <w:sz w:val="28"/>
          <w:szCs w:val="28"/>
        </w:rPr>
        <w:t xml:space="preserve"> (ИП), </w:t>
      </w:r>
      <w:r>
        <w:rPr>
          <w:rFonts w:eastAsia="+mn-ea"/>
          <w:color w:val="000000"/>
          <w:kern w:val="24"/>
          <w:sz w:val="28"/>
          <w:szCs w:val="28"/>
        </w:rPr>
        <w:t>из них свыше 80 организаций (ИП) пересмотрели размер заработной платы, по 96 организациям (ИП) уровень заработной платы ниже МРОТ объясняется с установленным в организациях режимом неполного рабочего времени.</w:t>
      </w:r>
    </w:p>
    <w:p w:rsidR="00CC319E" w:rsidRPr="00CC319E" w:rsidRDefault="005B690D" w:rsidP="00CC319E">
      <w:pPr>
        <w:pStyle w:val="a3"/>
        <w:ind w:firstLine="709"/>
        <w:jc w:val="both"/>
        <w:rPr>
          <w:rFonts w:ascii="Times New Roman" w:eastAsia="Times New Roman" w:hAnsi="Times New Roman" w:cs="Times New Roman"/>
          <w:color w:val="000000"/>
          <w:sz w:val="28"/>
          <w:szCs w:val="28"/>
          <w:lang w:eastAsia="ru-RU"/>
        </w:rPr>
      </w:pPr>
      <w:r w:rsidRPr="005B690D">
        <w:rPr>
          <w:rFonts w:ascii="Times New Roman" w:eastAsia="Times New Roman" w:hAnsi="Times New Roman" w:cs="Times New Roman"/>
          <w:b/>
          <w:i/>
          <w:color w:val="000000"/>
          <w:sz w:val="28"/>
          <w:szCs w:val="28"/>
          <w:lang w:eastAsia="ru-RU"/>
        </w:rPr>
        <w:t>Расходная часть.</w:t>
      </w:r>
      <w:r>
        <w:rPr>
          <w:rFonts w:ascii="Times New Roman" w:eastAsia="Times New Roman" w:hAnsi="Times New Roman" w:cs="Times New Roman"/>
          <w:color w:val="000000"/>
          <w:sz w:val="28"/>
          <w:szCs w:val="28"/>
          <w:lang w:eastAsia="ru-RU"/>
        </w:rPr>
        <w:t xml:space="preserve"> </w:t>
      </w:r>
      <w:r w:rsidR="00CC319E" w:rsidRPr="00CC319E">
        <w:rPr>
          <w:rFonts w:ascii="Times New Roman" w:eastAsia="Times New Roman" w:hAnsi="Times New Roman" w:cs="Times New Roman"/>
          <w:color w:val="000000"/>
          <w:sz w:val="28"/>
          <w:szCs w:val="28"/>
          <w:lang w:eastAsia="ru-RU"/>
        </w:rPr>
        <w:t>В течение последних лет приоритетными задачами бюджетной политики являются: финансовое обеспечение реализации указов Президента Российской Федерации от 7 мая 2012 года, своевременное и в полном объеме выполнение всех социальных обязательств, участие в федеральных программах по софинансируемым из федерального бюджета направлениям, снижение уровня долговой нагрузки и минимизация расходов на обслуживание государственного долга региона.</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Общий объем безвозмездных поступлений в 2017 году увеличен более, чем на 10% по сравнению с предыдущим годом и сохраняется в текущем году.</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Областной бюджет региона сохраняет социальную направленность. Наибольшая доля расходов бюджета (около 60 %) – это расходы в отраслях образования, здравоохранения и социальной политики.</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Все расходные обязательства, предусмотренные в областном бюджете Тверской области, выполняются своевременно и в полном объеме. В области сохранена социальная стабильность: обеспечивается исполнение всех социально-значимых обязательств по оплате труда работников бюджетной сферы, мерам социальной поддержки граждан, обеспечению деятельности государственных и муниципальных учреждений.</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 xml:space="preserve">В областном бюджете Тверской области предусматривается поддержка региональной экономики: сельского хозяйства, промышленности, дорожного хозяйства, предпринимательства и туризма. На осуществление мер государственной </w:t>
      </w:r>
      <w:r w:rsidRPr="00CC319E">
        <w:rPr>
          <w:rFonts w:ascii="Times New Roman" w:eastAsia="Times New Roman" w:hAnsi="Times New Roman" w:cs="Times New Roman"/>
          <w:color w:val="000000"/>
          <w:sz w:val="28"/>
          <w:szCs w:val="28"/>
          <w:lang w:eastAsia="ru-RU"/>
        </w:rPr>
        <w:lastRenderedPageBreak/>
        <w:t>поддержки отраслей экономического сектора в 2018 году направляется более 10 млрд руб.</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Значительно увеличены расходы на осуществление инвестиций в объекты государственной и муниципальной собственности. На реализацию адресной инвестиционной программы Тверской области в 2018 году запланировано свыше 5 млрд руб. (в 1,8 раза больше чем предусмотрено в 2017 году). Средства предусмотрены на строительство значимых объектов социальной инфраструктуры (общеобразовательных школ, дошкольных учреждений, объектов здравоохранения, культуры, физической культуры и спорта), на строительство, реконструкцию автомобильных дорог регионального и местного значения, на создание и модернизацию объектов жилищно-коммунального хозяйства.</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Уровень государственного долга в процентном отношении к налоговым и неналоговым доходам бюджета по итогам 2017 года сократился на 4 процентных пункта – с 66 % по состоянию на 1 января 2017 года до 62 % по состоянию на 1 января 2018 года. Суммарное снижение уровня долговой нагрузки на областной бюджет Тверской области за последние 2 года составило 10 процентных пунктов. По ожидаемой оценке, уровень долговой нагрузки за 2018 год составит 56%.</w:t>
      </w:r>
    </w:p>
    <w:p w:rsidR="00CC319E" w:rsidRPr="00CC319E"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В соответствии с постановлением Правительства Российской Федерации от 13.12.2017 №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проведена реструктуризация задолженности по бюджетным кредитам, предоставленным Тверской области из федерального бюджета в 2015 – 2017 годах, общий объем реструктуризированной задолженности составил 13 943 млн руб. Условия реструктуризации предусматривают перенос погашения задолженности по бюджетным кредитам на период с 2018 по 2024 год включительно, что позволит существенно сократить объем рыночных заимствований, необходимый для рефинансирования бюджетных кредитов, и уменьшить объем расходов на обслуживание государственного долга Тверской области (расходы на обслуживание долга в 2017 году сократились более чем в 2 раза к уровню предыдущего года - с 954 млн руб. в 2016 году до 409 млн руб. в 2017 году; планируемый объем расходов на обслуживание долга в 2018 году – не более 170 млн руб.).</w:t>
      </w:r>
    </w:p>
    <w:p w:rsidR="0035467D" w:rsidRDefault="00CC319E" w:rsidP="00CC319E">
      <w:pPr>
        <w:pStyle w:val="a3"/>
        <w:ind w:firstLine="709"/>
        <w:jc w:val="both"/>
        <w:rPr>
          <w:rFonts w:ascii="Times New Roman" w:eastAsia="Times New Roman" w:hAnsi="Times New Roman" w:cs="Times New Roman"/>
          <w:color w:val="000000"/>
          <w:sz w:val="28"/>
          <w:szCs w:val="28"/>
          <w:lang w:eastAsia="ru-RU"/>
        </w:rPr>
      </w:pPr>
      <w:r w:rsidRPr="00CC319E">
        <w:rPr>
          <w:rFonts w:ascii="Times New Roman" w:eastAsia="Times New Roman" w:hAnsi="Times New Roman" w:cs="Times New Roman"/>
          <w:color w:val="000000"/>
          <w:sz w:val="28"/>
          <w:szCs w:val="28"/>
          <w:lang w:eastAsia="ru-RU"/>
        </w:rPr>
        <w:t>Тверской областью в 2017 – 2018 годах своевременно и в полном объеме выполняются обязательства по возврату кредитов, погашению номинальной стоимости государственных облигаций Тверской области.</w:t>
      </w:r>
    </w:p>
    <w:p w:rsidR="00CC319E" w:rsidRDefault="00CC319E" w:rsidP="00CC319E">
      <w:pPr>
        <w:pStyle w:val="a3"/>
        <w:jc w:val="center"/>
        <w:rPr>
          <w:rFonts w:ascii="Times New Roman" w:hAnsi="Times New Roman" w:cs="Times New Roman"/>
          <w:b/>
          <w:sz w:val="28"/>
          <w:szCs w:val="28"/>
        </w:rPr>
      </w:pPr>
    </w:p>
    <w:p w:rsidR="000072FF" w:rsidRPr="00DE3CC3" w:rsidRDefault="000072FF" w:rsidP="000072FF">
      <w:pPr>
        <w:pStyle w:val="a3"/>
        <w:jc w:val="center"/>
        <w:rPr>
          <w:rFonts w:ascii="Times New Roman" w:hAnsi="Times New Roman" w:cs="Times New Roman"/>
          <w:b/>
          <w:sz w:val="28"/>
          <w:szCs w:val="28"/>
        </w:rPr>
      </w:pPr>
      <w:r w:rsidRPr="00DE3CC3">
        <w:rPr>
          <w:rFonts w:ascii="Times New Roman" w:hAnsi="Times New Roman" w:cs="Times New Roman"/>
          <w:b/>
          <w:sz w:val="28"/>
          <w:szCs w:val="28"/>
        </w:rPr>
        <w:t xml:space="preserve">Раздел </w:t>
      </w:r>
      <w:r w:rsidRPr="00DE3CC3">
        <w:rPr>
          <w:rFonts w:ascii="Times New Roman" w:hAnsi="Times New Roman" w:cs="Times New Roman"/>
          <w:b/>
          <w:sz w:val="28"/>
          <w:szCs w:val="28"/>
          <w:lang w:val="en-US"/>
        </w:rPr>
        <w:t>II</w:t>
      </w:r>
      <w:r w:rsidRPr="00DE3CC3">
        <w:rPr>
          <w:rFonts w:ascii="Times New Roman" w:hAnsi="Times New Roman" w:cs="Times New Roman"/>
          <w:b/>
          <w:sz w:val="28"/>
          <w:szCs w:val="28"/>
        </w:rPr>
        <w:t xml:space="preserve">. Методология формирования проекта областного бюджета </w:t>
      </w:r>
    </w:p>
    <w:p w:rsidR="000072FF" w:rsidRDefault="004340C7" w:rsidP="000072FF">
      <w:pPr>
        <w:pStyle w:val="a3"/>
        <w:jc w:val="center"/>
        <w:rPr>
          <w:rFonts w:ascii="Times New Roman" w:hAnsi="Times New Roman" w:cs="Times New Roman"/>
          <w:b/>
          <w:sz w:val="28"/>
          <w:szCs w:val="28"/>
        </w:rPr>
      </w:pPr>
      <w:r>
        <w:rPr>
          <w:rFonts w:ascii="Times New Roman" w:hAnsi="Times New Roman" w:cs="Times New Roman"/>
          <w:b/>
          <w:sz w:val="28"/>
          <w:szCs w:val="28"/>
        </w:rPr>
        <w:t>на 2019 год и плановый период 2020</w:t>
      </w:r>
      <w:r w:rsidR="000072FF" w:rsidRPr="00DE3CC3">
        <w:rPr>
          <w:rFonts w:ascii="Times New Roman" w:hAnsi="Times New Roman" w:cs="Times New Roman"/>
          <w:b/>
          <w:sz w:val="28"/>
          <w:szCs w:val="28"/>
        </w:rPr>
        <w:t xml:space="preserve"> и 202</w:t>
      </w:r>
      <w:r>
        <w:rPr>
          <w:rFonts w:ascii="Times New Roman" w:hAnsi="Times New Roman" w:cs="Times New Roman"/>
          <w:b/>
          <w:sz w:val="28"/>
          <w:szCs w:val="28"/>
        </w:rPr>
        <w:t>1</w:t>
      </w:r>
      <w:r w:rsidR="000072FF" w:rsidRPr="00DE3CC3">
        <w:rPr>
          <w:rFonts w:ascii="Times New Roman" w:hAnsi="Times New Roman" w:cs="Times New Roman"/>
          <w:b/>
          <w:sz w:val="28"/>
          <w:szCs w:val="28"/>
        </w:rPr>
        <w:t xml:space="preserve"> годов</w:t>
      </w:r>
    </w:p>
    <w:p w:rsidR="008C5203" w:rsidRDefault="008C5203" w:rsidP="000072FF">
      <w:pPr>
        <w:pStyle w:val="a3"/>
        <w:jc w:val="center"/>
        <w:rPr>
          <w:rFonts w:ascii="Times New Roman" w:hAnsi="Times New Roman" w:cs="Times New Roman"/>
          <w:b/>
          <w:sz w:val="28"/>
          <w:szCs w:val="28"/>
        </w:rPr>
      </w:pPr>
    </w:p>
    <w:p w:rsidR="008C5203" w:rsidRPr="008C5203" w:rsidRDefault="008C5203" w:rsidP="008C5203">
      <w:pPr>
        <w:tabs>
          <w:tab w:val="left" w:pos="4820"/>
        </w:tabs>
        <w:spacing w:line="257" w:lineRule="auto"/>
        <w:ind w:firstLine="567"/>
        <w:jc w:val="both"/>
        <w:rPr>
          <w:szCs w:val="28"/>
        </w:rPr>
      </w:pPr>
      <w:r w:rsidRPr="008C5203">
        <w:rPr>
          <w:szCs w:val="28"/>
        </w:rPr>
        <w:t>Эффективное управление государственными финансами является приоритетом бюджетной политики, что обусловлено задачей по сохранению устойчивости бюджетной системы области.</w:t>
      </w:r>
    </w:p>
    <w:p w:rsidR="008C5203" w:rsidRPr="008C5203" w:rsidRDefault="008C5203" w:rsidP="008C5203">
      <w:pPr>
        <w:shd w:val="clear" w:color="auto" w:fill="FFFFFF"/>
        <w:tabs>
          <w:tab w:val="left" w:pos="9792"/>
        </w:tabs>
        <w:ind w:firstLine="540"/>
        <w:jc w:val="both"/>
        <w:rPr>
          <w:color w:val="000000"/>
          <w:szCs w:val="28"/>
        </w:rPr>
      </w:pPr>
      <w:r w:rsidRPr="008C5203">
        <w:rPr>
          <w:color w:val="000000"/>
          <w:szCs w:val="28"/>
        </w:rPr>
        <w:t xml:space="preserve">Основными факторами, влияющими на формирование бюджетной политики, являются: прогнозируемый темп роста социально-экономического развития Тверской области, прогнозируемый рост доходной части бюджета региона, продолжение политики сдерживания роста государственного долга, максимальная </w:t>
      </w:r>
      <w:r w:rsidRPr="008C5203">
        <w:rPr>
          <w:color w:val="000000"/>
          <w:szCs w:val="28"/>
        </w:rPr>
        <w:lastRenderedPageBreak/>
        <w:t>концентрация имеющихся финансовых ресурсов на приоритетных направлениях государственных программ Тверской области.</w:t>
      </w:r>
    </w:p>
    <w:p w:rsidR="008C5203" w:rsidRPr="008C5203" w:rsidRDefault="008C5203" w:rsidP="008C5203">
      <w:pPr>
        <w:tabs>
          <w:tab w:val="left" w:pos="4820"/>
        </w:tabs>
        <w:spacing w:line="256" w:lineRule="auto"/>
        <w:ind w:firstLine="567"/>
        <w:jc w:val="both"/>
        <w:rPr>
          <w:szCs w:val="28"/>
        </w:rPr>
      </w:pPr>
      <w:r w:rsidRPr="008C5203">
        <w:rPr>
          <w:szCs w:val="28"/>
        </w:rPr>
        <w:t>Основными стратегическими задачами бюджетной политики на ближайшие годы будут являться:</w:t>
      </w:r>
    </w:p>
    <w:p w:rsidR="008C5203" w:rsidRDefault="008C5203" w:rsidP="00284FBF">
      <w:pPr>
        <w:shd w:val="clear" w:color="auto" w:fill="FFFFFF" w:themeFill="background1"/>
        <w:spacing w:line="259" w:lineRule="auto"/>
        <w:ind w:firstLine="567"/>
        <w:jc w:val="both"/>
        <w:rPr>
          <w:szCs w:val="28"/>
        </w:rPr>
      </w:pPr>
      <w:r w:rsidRPr="008C5203">
        <w:rPr>
          <w:szCs w:val="28"/>
        </w:rPr>
        <w:t>увязка стратегического и бюджетного планирования для обеспечения долгосрочной стабильности и устойчивости областного бюджета;</w:t>
      </w:r>
    </w:p>
    <w:p w:rsidR="008C5203" w:rsidRPr="008C5203" w:rsidRDefault="008C5203" w:rsidP="00284FBF">
      <w:pPr>
        <w:widowControl w:val="0"/>
        <w:autoSpaceDE w:val="0"/>
        <w:autoSpaceDN w:val="0"/>
        <w:ind w:firstLine="567"/>
        <w:jc w:val="both"/>
        <w:rPr>
          <w:rFonts w:ascii="Calibri" w:hAnsi="Calibri" w:cs="Calibri"/>
          <w:color w:val="000000"/>
          <w:sz w:val="22"/>
          <w:szCs w:val="28"/>
          <w:highlight w:val="yellow"/>
        </w:rPr>
      </w:pPr>
      <w:r w:rsidRPr="008C5203">
        <w:rPr>
          <w:szCs w:val="28"/>
        </w:rPr>
        <w:t>безусловное исполнение законодательно установленных публично-нормативных и иных социально значимых обязательств;</w:t>
      </w:r>
      <w:r w:rsidRPr="008C5203">
        <w:rPr>
          <w:rFonts w:ascii="Calibri" w:hAnsi="Calibri" w:cs="Calibri"/>
          <w:color w:val="000000"/>
          <w:sz w:val="22"/>
          <w:szCs w:val="28"/>
          <w:highlight w:val="yellow"/>
        </w:rPr>
        <w:t xml:space="preserve"> </w:t>
      </w:r>
    </w:p>
    <w:p w:rsidR="008C5203" w:rsidRPr="008C5203" w:rsidRDefault="008C5203" w:rsidP="00284FBF">
      <w:pPr>
        <w:widowControl w:val="0"/>
        <w:autoSpaceDE w:val="0"/>
        <w:autoSpaceDN w:val="0"/>
        <w:ind w:firstLine="567"/>
        <w:jc w:val="both"/>
        <w:rPr>
          <w:color w:val="000000"/>
          <w:szCs w:val="28"/>
        </w:rPr>
      </w:pPr>
      <w:r w:rsidRPr="008C5203">
        <w:rPr>
          <w:color w:val="000000"/>
          <w:szCs w:val="28"/>
        </w:rPr>
        <w:t xml:space="preserve">концентрация финансовых ресурсов на реализацию национальных целей, определенных Президентом Российской Федерации в Указе от 7 мая 2018 г. № 204 «О национальных целях и стратегических задачах развития Российской Федерации на период до 2024 года» (далее – Указ Президента РФ № 204); </w:t>
      </w:r>
    </w:p>
    <w:p w:rsidR="008C5203" w:rsidRPr="008C5203" w:rsidRDefault="008C5203" w:rsidP="00284FBF">
      <w:pPr>
        <w:widowControl w:val="0"/>
        <w:autoSpaceDE w:val="0"/>
        <w:autoSpaceDN w:val="0"/>
        <w:ind w:firstLine="567"/>
        <w:jc w:val="both"/>
        <w:rPr>
          <w:szCs w:val="28"/>
        </w:rPr>
      </w:pPr>
      <w:r w:rsidRPr="008C5203">
        <w:rPr>
          <w:szCs w:val="28"/>
        </w:rPr>
        <w:t>повышение финансовой дисциплины главных распорядителей средств областного бюджета и муниципальных образований Тверской области;</w:t>
      </w:r>
    </w:p>
    <w:p w:rsidR="008C5203" w:rsidRPr="008C5203" w:rsidRDefault="008C5203" w:rsidP="00284FBF">
      <w:pPr>
        <w:shd w:val="clear" w:color="auto" w:fill="FFFFFF"/>
        <w:tabs>
          <w:tab w:val="left" w:pos="9792"/>
        </w:tabs>
        <w:ind w:firstLine="567"/>
        <w:jc w:val="both"/>
        <w:rPr>
          <w:rFonts w:eastAsia="Calibri"/>
          <w:szCs w:val="28"/>
          <w:lang w:eastAsia="en-US"/>
        </w:rPr>
      </w:pPr>
      <w:r w:rsidRPr="008C5203">
        <w:rPr>
          <w:rFonts w:eastAsia="Calibri"/>
          <w:szCs w:val="28"/>
          <w:lang w:eastAsia="en-US"/>
        </w:rPr>
        <w:t>дальнейшее совершенствование системы межбюджетных отношений как стимула для более эффективного использования бюджетных средств в муниципальных образованиях области, укрепления экономической основы органов местного самоуправления муниципальных образований, повышения уровня прозрачности и предсказуемости формирования межбюджетных трансфертов на среднесрочную перспективу;</w:t>
      </w:r>
    </w:p>
    <w:p w:rsidR="008C5203" w:rsidRPr="008C5203" w:rsidRDefault="008C5203" w:rsidP="00284FBF">
      <w:pPr>
        <w:shd w:val="clear" w:color="auto" w:fill="FFFFFF"/>
        <w:tabs>
          <w:tab w:val="left" w:pos="9792"/>
        </w:tabs>
        <w:ind w:firstLine="567"/>
        <w:jc w:val="both"/>
        <w:rPr>
          <w:color w:val="000000"/>
          <w:szCs w:val="28"/>
        </w:rPr>
      </w:pPr>
      <w:r w:rsidRPr="008C5203">
        <w:rPr>
          <w:color w:val="000000"/>
          <w:szCs w:val="28"/>
        </w:rPr>
        <w:t>продолжение практики реализации механизмов выявления и минимизации неэффективных расходов местных бюджетов, включая разработку и реализацию мероприятий по финансовому оздоровлению, проведение процедур укрупнения муниципальных образований;</w:t>
      </w:r>
    </w:p>
    <w:p w:rsidR="008C5203" w:rsidRPr="008C5203" w:rsidRDefault="008C5203" w:rsidP="00284FBF">
      <w:pPr>
        <w:shd w:val="clear" w:color="auto" w:fill="FFFFFF"/>
        <w:tabs>
          <w:tab w:val="left" w:pos="9792"/>
        </w:tabs>
        <w:ind w:firstLine="567"/>
        <w:jc w:val="both"/>
        <w:rPr>
          <w:color w:val="000000"/>
          <w:szCs w:val="28"/>
        </w:rPr>
      </w:pPr>
      <w:r w:rsidRPr="008C5203">
        <w:rPr>
          <w:color w:val="000000"/>
          <w:szCs w:val="28"/>
        </w:rPr>
        <w:t>доработка и последующая реализация мер, направленных на мобилизацию налоговых, неналоговых доходов и развитие экономического потенциала муниципальных образований;</w:t>
      </w:r>
    </w:p>
    <w:p w:rsidR="008C5203" w:rsidRPr="008C5203" w:rsidRDefault="008C5203" w:rsidP="00284FBF">
      <w:pPr>
        <w:shd w:val="clear" w:color="auto" w:fill="FFFFFF"/>
        <w:tabs>
          <w:tab w:val="left" w:pos="9792"/>
        </w:tabs>
        <w:ind w:firstLine="567"/>
        <w:jc w:val="both"/>
        <w:rPr>
          <w:color w:val="000000"/>
          <w:szCs w:val="28"/>
        </w:rPr>
      </w:pPr>
      <w:r w:rsidRPr="008C5203">
        <w:rPr>
          <w:color w:val="000000"/>
          <w:szCs w:val="28"/>
        </w:rPr>
        <w:t>дальнейшее развитие Программы поддержки местных инициатив, проявившей себя как эффективный способ выявления и решения жизненно важных вопросов локальных сообществ при участии населения Тверской области;</w:t>
      </w:r>
    </w:p>
    <w:p w:rsidR="008C5203" w:rsidRPr="008C5203" w:rsidRDefault="008C5203" w:rsidP="00284FBF">
      <w:pPr>
        <w:shd w:val="clear" w:color="auto" w:fill="FFFFFF"/>
        <w:tabs>
          <w:tab w:val="left" w:pos="9792"/>
        </w:tabs>
        <w:ind w:firstLine="567"/>
        <w:jc w:val="both"/>
        <w:rPr>
          <w:color w:val="000000"/>
          <w:szCs w:val="28"/>
        </w:rPr>
      </w:pPr>
      <w:r w:rsidRPr="008C5203">
        <w:rPr>
          <w:color w:val="000000"/>
          <w:szCs w:val="28"/>
        </w:rPr>
        <w:t>создание 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 в том числе за счет усовершенствования механизма финансового обеспечения государственных учреждений Тверской области;</w:t>
      </w:r>
    </w:p>
    <w:p w:rsidR="008C5203" w:rsidRPr="008C5203" w:rsidRDefault="008C5203" w:rsidP="00284FBF">
      <w:pPr>
        <w:shd w:val="clear" w:color="auto" w:fill="FFFFFF"/>
        <w:tabs>
          <w:tab w:val="left" w:pos="9792"/>
        </w:tabs>
        <w:ind w:firstLine="567"/>
        <w:jc w:val="both"/>
        <w:rPr>
          <w:color w:val="000000"/>
          <w:szCs w:val="28"/>
        </w:rPr>
      </w:pPr>
      <w:r w:rsidRPr="008C5203">
        <w:rPr>
          <w:rFonts w:eastAsia="Calibri"/>
          <w:color w:val="000000"/>
          <w:szCs w:val="28"/>
          <w:lang w:eastAsia="en-US"/>
        </w:rPr>
        <w:t>повышение открытости бюджетного процесса на областном и муниципальном уровнях, в том числе публикации бюджетной информации на едином портале бюджетной системы Российской Федерации (www.budget.gov.ru);</w:t>
      </w:r>
    </w:p>
    <w:p w:rsidR="008C5203" w:rsidRPr="008C5203" w:rsidRDefault="008C5203" w:rsidP="008C5203">
      <w:pPr>
        <w:ind w:firstLine="567"/>
        <w:jc w:val="both"/>
        <w:rPr>
          <w:color w:val="000000"/>
          <w:szCs w:val="28"/>
        </w:rPr>
      </w:pPr>
      <w:r w:rsidRPr="008C5203">
        <w:rPr>
          <w:color w:val="000000"/>
          <w:szCs w:val="28"/>
        </w:rP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увеличивают актуальность реализации мер по повышению эффективности использования бюджетных средств.</w:t>
      </w:r>
    </w:p>
    <w:p w:rsidR="008C5203" w:rsidRPr="008C5203" w:rsidRDefault="008C5203" w:rsidP="008C5203">
      <w:pPr>
        <w:widowControl w:val="0"/>
        <w:autoSpaceDE w:val="0"/>
        <w:autoSpaceDN w:val="0"/>
        <w:ind w:firstLine="540"/>
        <w:jc w:val="both"/>
        <w:rPr>
          <w:szCs w:val="28"/>
        </w:rPr>
      </w:pPr>
      <w:r w:rsidRPr="008C5203">
        <w:rPr>
          <w:szCs w:val="28"/>
        </w:rPr>
        <w:t>Одним из главных инструментов, который призван обеспечить повышение результативности и эффективности бюджетных расходов, ориентированность на достижение целей региональной политики, являются государственные программы.</w:t>
      </w:r>
    </w:p>
    <w:p w:rsidR="008C5203" w:rsidRPr="008C5203" w:rsidRDefault="008C5203" w:rsidP="008C5203">
      <w:pPr>
        <w:shd w:val="clear" w:color="auto" w:fill="FFFFFF"/>
        <w:spacing w:line="259" w:lineRule="auto"/>
        <w:ind w:firstLine="567"/>
        <w:jc w:val="both"/>
        <w:rPr>
          <w:color w:val="000000"/>
          <w:szCs w:val="28"/>
        </w:rPr>
      </w:pPr>
      <w:r w:rsidRPr="008C5203">
        <w:rPr>
          <w:color w:val="000000"/>
          <w:szCs w:val="28"/>
        </w:rPr>
        <w:lastRenderedPageBreak/>
        <w:t>В предстоящем периоде продолжится работа по повышению качества и эффективности реализации государственных программ Тверской области как основного инструмента интеграции стратегического целеполагания, бюджетного планирования и операционного управления.</w:t>
      </w:r>
    </w:p>
    <w:p w:rsidR="008C5203" w:rsidRPr="00C941F3" w:rsidRDefault="008C5203" w:rsidP="008C5203">
      <w:pPr>
        <w:ind w:firstLine="567"/>
        <w:jc w:val="both"/>
        <w:rPr>
          <w:color w:val="000000"/>
          <w:szCs w:val="28"/>
        </w:rPr>
      </w:pPr>
      <w:r w:rsidRPr="00C941F3">
        <w:rPr>
          <w:color w:val="000000"/>
          <w:szCs w:val="28"/>
        </w:rPr>
        <w:t>Формирование областного бюджета Тверской области на основе государственных программ позволило повысить обоснованность бюджетных ассигнований на этапе формирования проекта областного бюджета Тверской области и обеспечило более широкие возможности для оценки их эффективности.</w:t>
      </w:r>
    </w:p>
    <w:p w:rsidR="00766BF9" w:rsidRPr="00C941F3" w:rsidRDefault="00766BF9" w:rsidP="008C5203">
      <w:pPr>
        <w:ind w:firstLine="567"/>
        <w:jc w:val="both"/>
        <w:rPr>
          <w:color w:val="000000"/>
          <w:szCs w:val="28"/>
        </w:rPr>
      </w:pPr>
      <w:r w:rsidRPr="00C941F3">
        <w:rPr>
          <w:color w:val="000000"/>
          <w:szCs w:val="28"/>
        </w:rPr>
        <w:t xml:space="preserve">При разработке каждой государственной программы установлены измеримые показатели ее реализации, обеспечена взаимосвязь бюджетных ассигнований с конечными результатами реализации государственной программы, тем самым обеспечена увязка расходов областного бюджета Тверской области с конкретными мероприятиями государственной программы и показателями, характеризующими их достижение. </w:t>
      </w:r>
    </w:p>
    <w:p w:rsidR="008C5203" w:rsidRPr="008C5203" w:rsidRDefault="00766BF9" w:rsidP="008C5203">
      <w:pPr>
        <w:ind w:firstLine="567"/>
        <w:jc w:val="both"/>
        <w:rPr>
          <w:color w:val="000000"/>
          <w:szCs w:val="28"/>
        </w:rPr>
      </w:pPr>
      <w:r w:rsidRPr="00C941F3">
        <w:rPr>
          <w:color w:val="000000"/>
          <w:szCs w:val="28"/>
        </w:rPr>
        <w:t xml:space="preserve"> </w:t>
      </w:r>
      <w:r w:rsidR="008C5203" w:rsidRPr="008C5203">
        <w:rPr>
          <w:color w:val="000000"/>
          <w:szCs w:val="28"/>
        </w:rPr>
        <w:t>Еще 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(муниципальных) программ на проектных принципах управления. С</w:t>
      </w:r>
      <w:r w:rsidR="00C941F3">
        <w:rPr>
          <w:color w:val="000000"/>
          <w:szCs w:val="28"/>
        </w:rPr>
        <w:t xml:space="preserve"> </w:t>
      </w:r>
      <w:r w:rsidR="008C5203" w:rsidRPr="008C5203">
        <w:rPr>
          <w:color w:val="000000"/>
          <w:szCs w:val="28"/>
        </w:rPr>
        <w:t xml:space="preserve">учетом интеграции предусмотренной Указом Президента РФ № 204 национальных проектов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w:t>
      </w:r>
    </w:p>
    <w:p w:rsidR="00E7492A" w:rsidRDefault="00E7492A" w:rsidP="00E7492A">
      <w:pPr>
        <w:pStyle w:val="a3"/>
        <w:ind w:firstLine="567"/>
        <w:jc w:val="both"/>
        <w:rPr>
          <w:rFonts w:ascii="Times New Roman" w:hAnsi="Times New Roman" w:cs="Times New Roman"/>
          <w:sz w:val="28"/>
          <w:szCs w:val="28"/>
        </w:rPr>
      </w:pPr>
      <w:r w:rsidRPr="00284FBF">
        <w:rPr>
          <w:rFonts w:ascii="Times New Roman" w:hAnsi="Times New Roman" w:cs="Times New Roman"/>
          <w:sz w:val="28"/>
          <w:szCs w:val="28"/>
        </w:rPr>
        <w:t xml:space="preserve">Кроме того, </w:t>
      </w:r>
      <w:r>
        <w:rPr>
          <w:rFonts w:ascii="Times New Roman" w:hAnsi="Times New Roman" w:cs="Times New Roman"/>
          <w:sz w:val="28"/>
          <w:szCs w:val="28"/>
        </w:rPr>
        <w:t xml:space="preserve">в целях </w:t>
      </w:r>
      <w:r w:rsidRPr="00E84577">
        <w:rPr>
          <w:rFonts w:ascii="Times New Roman" w:hAnsi="Times New Roman" w:cs="Times New Roman"/>
          <w:sz w:val="28"/>
          <w:szCs w:val="28"/>
        </w:rPr>
        <w:t xml:space="preserve">обеспечения открытости и прозрачности бюджетов и бюджетного процесса Тверской области </w:t>
      </w:r>
      <w:r w:rsidRPr="00284FBF">
        <w:rPr>
          <w:rFonts w:ascii="Times New Roman" w:hAnsi="Times New Roman" w:cs="Times New Roman"/>
          <w:sz w:val="28"/>
          <w:szCs w:val="28"/>
        </w:rPr>
        <w:t xml:space="preserve">будет продолжена работа </w:t>
      </w:r>
      <w:r>
        <w:rPr>
          <w:rFonts w:ascii="Times New Roman" w:hAnsi="Times New Roman" w:cs="Times New Roman"/>
          <w:sz w:val="28"/>
          <w:szCs w:val="28"/>
        </w:rPr>
        <w:t xml:space="preserve">по размещению </w:t>
      </w:r>
      <w:r w:rsidRPr="00E84577">
        <w:rPr>
          <w:rFonts w:ascii="Times New Roman" w:hAnsi="Times New Roman" w:cs="Times New Roman"/>
          <w:sz w:val="28"/>
          <w:szCs w:val="28"/>
        </w:rPr>
        <w:t>информации на едином портале бюджетной системы Российской Федерации</w:t>
      </w:r>
      <w:r>
        <w:rPr>
          <w:rFonts w:ascii="Times New Roman" w:hAnsi="Times New Roman" w:cs="Times New Roman"/>
          <w:sz w:val="28"/>
          <w:szCs w:val="28"/>
        </w:rPr>
        <w:t xml:space="preserve"> «Электронный бюджет», в том числе </w:t>
      </w:r>
      <w:r w:rsidRPr="00E84577">
        <w:rPr>
          <w:rFonts w:ascii="Times New Roman" w:hAnsi="Times New Roman" w:cs="Times New Roman"/>
          <w:sz w:val="28"/>
          <w:szCs w:val="28"/>
        </w:rPr>
        <w:t>информаци</w:t>
      </w:r>
      <w:r>
        <w:rPr>
          <w:rFonts w:ascii="Times New Roman" w:hAnsi="Times New Roman" w:cs="Times New Roman"/>
          <w:sz w:val="28"/>
          <w:szCs w:val="28"/>
        </w:rPr>
        <w:t>и</w:t>
      </w:r>
      <w:r w:rsidRPr="00E84577">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E84577">
        <w:rPr>
          <w:rFonts w:ascii="Times New Roman" w:hAnsi="Times New Roman" w:cs="Times New Roman"/>
          <w:sz w:val="28"/>
          <w:szCs w:val="28"/>
        </w:rPr>
        <w:t>бюджетном законодательстве</w:t>
      </w:r>
      <w:r>
        <w:rPr>
          <w:rFonts w:ascii="Times New Roman" w:hAnsi="Times New Roman" w:cs="Times New Roman"/>
          <w:sz w:val="28"/>
          <w:szCs w:val="28"/>
        </w:rPr>
        <w:t xml:space="preserve"> и бюджетном процессе Тверской области, об областном бюджете Тверской области, структуре государственного долга, межбюджетных трансфертах, </w:t>
      </w:r>
      <w:r w:rsidRPr="00B33298">
        <w:rPr>
          <w:rFonts w:ascii="Times New Roman" w:hAnsi="Times New Roman" w:cs="Times New Roman"/>
          <w:sz w:val="28"/>
          <w:szCs w:val="28"/>
        </w:rPr>
        <w:t>о государственном (муниципальном) финансовом контроле</w:t>
      </w:r>
      <w:r>
        <w:rPr>
          <w:rFonts w:ascii="Times New Roman" w:hAnsi="Times New Roman" w:cs="Times New Roman"/>
          <w:sz w:val="28"/>
          <w:szCs w:val="28"/>
        </w:rPr>
        <w:t xml:space="preserve"> и другой информации.</w:t>
      </w:r>
    </w:p>
    <w:p w:rsidR="00E84577" w:rsidRPr="00E84577" w:rsidRDefault="00E84577" w:rsidP="00E84577">
      <w:pPr>
        <w:pStyle w:val="a3"/>
        <w:ind w:firstLine="567"/>
        <w:jc w:val="both"/>
        <w:rPr>
          <w:rFonts w:ascii="Times New Roman" w:hAnsi="Times New Roman" w:cs="Times New Roman"/>
          <w:sz w:val="28"/>
          <w:szCs w:val="28"/>
        </w:rPr>
      </w:pPr>
    </w:p>
    <w:p w:rsidR="009A7FC2" w:rsidRPr="00DE3CC3" w:rsidRDefault="00685779" w:rsidP="004021FA">
      <w:pPr>
        <w:tabs>
          <w:tab w:val="right" w:pos="9355"/>
        </w:tabs>
        <w:ind w:firstLine="709"/>
        <w:jc w:val="both"/>
        <w:rPr>
          <w:b/>
          <w:szCs w:val="28"/>
        </w:rPr>
      </w:pPr>
      <w:r w:rsidRPr="00DE3CC3">
        <w:rPr>
          <w:b/>
          <w:szCs w:val="28"/>
        </w:rPr>
        <w:t>Р</w:t>
      </w:r>
      <w:r w:rsidR="009A7FC2" w:rsidRPr="00DE3CC3">
        <w:rPr>
          <w:b/>
          <w:szCs w:val="28"/>
        </w:rPr>
        <w:t xml:space="preserve">аздел </w:t>
      </w:r>
      <w:r w:rsidR="000072FF">
        <w:rPr>
          <w:b/>
          <w:szCs w:val="28"/>
          <w:lang w:val="en-US"/>
        </w:rPr>
        <w:t>I</w:t>
      </w:r>
      <w:r w:rsidR="009A7FC2" w:rsidRPr="00DE3CC3">
        <w:rPr>
          <w:b/>
          <w:szCs w:val="28"/>
          <w:lang w:val="en-US"/>
        </w:rPr>
        <w:t>II</w:t>
      </w:r>
      <w:r w:rsidR="009A7FC2" w:rsidRPr="00DE3CC3">
        <w:rPr>
          <w:b/>
          <w:szCs w:val="28"/>
        </w:rPr>
        <w:t>. Основные подходы к формированию расходов областного бюджета Тверской области на 201</w:t>
      </w:r>
      <w:r w:rsidR="00F34A5A">
        <w:rPr>
          <w:b/>
          <w:szCs w:val="28"/>
        </w:rPr>
        <w:t>9</w:t>
      </w:r>
      <w:r w:rsidR="00DE4435" w:rsidRPr="00DE3CC3">
        <w:rPr>
          <w:b/>
          <w:szCs w:val="28"/>
        </w:rPr>
        <w:t xml:space="preserve"> </w:t>
      </w:r>
      <w:r w:rsidR="00F268DD" w:rsidRPr="00DE3CC3">
        <w:rPr>
          <w:b/>
          <w:szCs w:val="28"/>
        </w:rPr>
        <w:t>год и плановый период 20</w:t>
      </w:r>
      <w:r w:rsidR="00F34A5A">
        <w:rPr>
          <w:b/>
          <w:szCs w:val="28"/>
        </w:rPr>
        <w:t>20</w:t>
      </w:r>
      <w:r w:rsidR="00F268DD" w:rsidRPr="00DE3CC3">
        <w:rPr>
          <w:b/>
          <w:szCs w:val="28"/>
        </w:rPr>
        <w:t xml:space="preserve"> и 20</w:t>
      </w:r>
      <w:r w:rsidR="00044A1F" w:rsidRPr="00DE3CC3">
        <w:rPr>
          <w:b/>
          <w:szCs w:val="28"/>
        </w:rPr>
        <w:t>2</w:t>
      </w:r>
      <w:r w:rsidR="00F34A5A">
        <w:rPr>
          <w:b/>
          <w:szCs w:val="28"/>
        </w:rPr>
        <w:t>1</w:t>
      </w:r>
      <w:r w:rsidR="00F268DD" w:rsidRPr="00DE3CC3">
        <w:rPr>
          <w:b/>
          <w:szCs w:val="28"/>
        </w:rPr>
        <w:t xml:space="preserve"> </w:t>
      </w:r>
      <w:r w:rsidR="009A7FC2" w:rsidRPr="00DE3CC3">
        <w:rPr>
          <w:b/>
          <w:szCs w:val="28"/>
        </w:rPr>
        <w:t>год</w:t>
      </w:r>
      <w:r w:rsidR="00F268DD" w:rsidRPr="00DE3CC3">
        <w:rPr>
          <w:b/>
          <w:szCs w:val="28"/>
        </w:rPr>
        <w:t>ов</w:t>
      </w:r>
    </w:p>
    <w:p w:rsidR="0035467D" w:rsidRDefault="0035467D" w:rsidP="00284FBF">
      <w:pPr>
        <w:shd w:val="clear" w:color="auto" w:fill="FFFFFF"/>
        <w:tabs>
          <w:tab w:val="left" w:pos="9792"/>
        </w:tabs>
        <w:ind w:firstLine="540"/>
        <w:jc w:val="both"/>
        <w:rPr>
          <w:color w:val="000000"/>
          <w:szCs w:val="28"/>
        </w:rPr>
      </w:pPr>
    </w:p>
    <w:p w:rsidR="0035467D" w:rsidRDefault="0035467D" w:rsidP="00284FBF">
      <w:pPr>
        <w:shd w:val="clear" w:color="auto" w:fill="FFFFFF"/>
        <w:tabs>
          <w:tab w:val="left" w:pos="9792"/>
        </w:tabs>
        <w:ind w:firstLine="540"/>
        <w:jc w:val="both"/>
        <w:rPr>
          <w:color w:val="000000"/>
          <w:szCs w:val="28"/>
        </w:rPr>
      </w:pPr>
      <w:r w:rsidRPr="0035467D">
        <w:rPr>
          <w:color w:val="000000"/>
          <w:szCs w:val="28"/>
        </w:rPr>
        <w:t>В условиях жесткого регулирования показателей долговой нагрузки, а также традиционно высокой доли социально значимых и первоочередных расходов и, как следствие, ограничения объема средств на развитие региона, наиболее значимым направлением бюджетной политики по-прежнему остается повышение эффективности бюджетных расходов.</w:t>
      </w:r>
    </w:p>
    <w:p w:rsidR="0035467D" w:rsidRPr="0035467D" w:rsidRDefault="0035467D" w:rsidP="0035467D">
      <w:pPr>
        <w:shd w:val="clear" w:color="auto" w:fill="FFFFFF"/>
        <w:tabs>
          <w:tab w:val="left" w:pos="9792"/>
        </w:tabs>
        <w:ind w:firstLine="540"/>
        <w:jc w:val="both"/>
        <w:rPr>
          <w:color w:val="000000"/>
          <w:szCs w:val="28"/>
        </w:rPr>
      </w:pPr>
      <w:r w:rsidRPr="0035467D">
        <w:rPr>
          <w:color w:val="000000"/>
          <w:szCs w:val="28"/>
        </w:rPr>
        <w:t xml:space="preserve">Основная цель бюджетного планирования – достижения конечных результатов за счет имеющихся бюджетных возможностей. </w:t>
      </w:r>
    </w:p>
    <w:p w:rsidR="00C84D84" w:rsidRDefault="009C10B5" w:rsidP="00284FBF">
      <w:pPr>
        <w:shd w:val="clear" w:color="auto" w:fill="FFFFFF"/>
        <w:tabs>
          <w:tab w:val="left" w:pos="9792"/>
        </w:tabs>
        <w:ind w:firstLine="540"/>
        <w:jc w:val="both"/>
        <w:rPr>
          <w:color w:val="000000"/>
          <w:szCs w:val="28"/>
        </w:rPr>
      </w:pPr>
      <w:r w:rsidRPr="00284FBF">
        <w:rPr>
          <w:color w:val="000000"/>
          <w:szCs w:val="28"/>
        </w:rPr>
        <w:t>При формировании областного бюджета в</w:t>
      </w:r>
      <w:r w:rsidR="00C84D84" w:rsidRPr="00284FBF">
        <w:rPr>
          <w:color w:val="000000"/>
          <w:szCs w:val="28"/>
        </w:rPr>
        <w:t xml:space="preserve"> качестве «базовых объемов» бюджетных ассигнований областного бюджета Тверской области приняты бюджетные ассигнования, </w:t>
      </w:r>
      <w:r w:rsidR="00284FBF" w:rsidRPr="00284FBF">
        <w:rPr>
          <w:color w:val="000000"/>
          <w:szCs w:val="28"/>
        </w:rPr>
        <w:t>утвержденны</w:t>
      </w:r>
      <w:r w:rsidR="00284FBF">
        <w:rPr>
          <w:color w:val="000000"/>
          <w:szCs w:val="28"/>
        </w:rPr>
        <w:t>е</w:t>
      </w:r>
      <w:r w:rsidR="00284FBF" w:rsidRPr="00284FBF">
        <w:rPr>
          <w:color w:val="000000"/>
          <w:szCs w:val="28"/>
        </w:rPr>
        <w:t xml:space="preserve"> </w:t>
      </w:r>
      <w:r w:rsidR="00284FBF">
        <w:rPr>
          <w:color w:val="000000"/>
          <w:szCs w:val="28"/>
        </w:rPr>
        <w:t>з</w:t>
      </w:r>
      <w:r w:rsidR="00284FBF" w:rsidRPr="00284FBF">
        <w:rPr>
          <w:color w:val="000000"/>
          <w:szCs w:val="28"/>
        </w:rPr>
        <w:t>аконом Тверской области от 27.12.2017 № 85-ЗО «Об областном бюджете Тверской области на 2018 год и на плановый период 2019 и 2020 годов»</w:t>
      </w:r>
      <w:r w:rsidR="00284FBF">
        <w:rPr>
          <w:color w:val="000000"/>
          <w:szCs w:val="28"/>
        </w:rPr>
        <w:t xml:space="preserve">, </w:t>
      </w:r>
      <w:r w:rsidR="00284FBF" w:rsidRPr="00284FBF">
        <w:rPr>
          <w:color w:val="000000"/>
          <w:szCs w:val="28"/>
        </w:rPr>
        <w:t>в редакции от 06.03.2018 № 10-ЗО</w:t>
      </w:r>
      <w:r w:rsidR="0078600F" w:rsidRPr="00284FBF">
        <w:rPr>
          <w:color w:val="000000"/>
          <w:szCs w:val="28"/>
        </w:rPr>
        <w:t xml:space="preserve"> на 201</w:t>
      </w:r>
      <w:r w:rsidR="00284FBF">
        <w:rPr>
          <w:color w:val="000000"/>
          <w:szCs w:val="28"/>
        </w:rPr>
        <w:t>9</w:t>
      </w:r>
      <w:r w:rsidR="0078600F" w:rsidRPr="00284FBF">
        <w:rPr>
          <w:color w:val="000000"/>
          <w:szCs w:val="28"/>
        </w:rPr>
        <w:t xml:space="preserve"> год</w:t>
      </w:r>
      <w:r w:rsidR="0042757E" w:rsidRPr="00284FBF">
        <w:rPr>
          <w:color w:val="000000"/>
          <w:szCs w:val="28"/>
        </w:rPr>
        <w:t>.</w:t>
      </w:r>
    </w:p>
    <w:p w:rsidR="00946B9D" w:rsidRPr="00946B9D" w:rsidRDefault="00C84D84" w:rsidP="00946B9D">
      <w:pPr>
        <w:shd w:val="clear" w:color="auto" w:fill="FFFFFF"/>
        <w:ind w:firstLine="567"/>
        <w:jc w:val="both"/>
        <w:rPr>
          <w:color w:val="000000" w:themeColor="text1"/>
          <w:szCs w:val="28"/>
        </w:rPr>
      </w:pPr>
      <w:r w:rsidRPr="00284FBF">
        <w:rPr>
          <w:color w:val="000000"/>
          <w:szCs w:val="28"/>
        </w:rPr>
        <w:lastRenderedPageBreak/>
        <w:t xml:space="preserve">При этом формирование предложений по распределению </w:t>
      </w:r>
      <w:r w:rsidR="007E7849" w:rsidRPr="00284FBF">
        <w:rPr>
          <w:color w:val="000000"/>
          <w:szCs w:val="28"/>
        </w:rPr>
        <w:t xml:space="preserve">и дополнению </w:t>
      </w:r>
      <w:r w:rsidRPr="00284FBF">
        <w:rPr>
          <w:color w:val="000000"/>
          <w:szCs w:val="28"/>
        </w:rPr>
        <w:t xml:space="preserve">«базовых объемов» </w:t>
      </w:r>
      <w:r w:rsidR="002203B9" w:rsidRPr="00284FBF">
        <w:rPr>
          <w:color w:val="000000"/>
          <w:szCs w:val="28"/>
        </w:rPr>
        <w:t>осуществлялось</w:t>
      </w:r>
      <w:r w:rsidRPr="00284FBF">
        <w:rPr>
          <w:color w:val="000000"/>
          <w:szCs w:val="28"/>
        </w:rPr>
        <w:t xml:space="preserve"> в соответствии</w:t>
      </w:r>
      <w:r w:rsidR="002203B9" w:rsidRPr="00284FBF">
        <w:rPr>
          <w:color w:val="000000"/>
          <w:szCs w:val="28"/>
        </w:rPr>
        <w:t xml:space="preserve"> с целями и задачами бюджетной политики</w:t>
      </w:r>
      <w:r w:rsidR="00284FBF">
        <w:rPr>
          <w:color w:val="000000"/>
          <w:szCs w:val="28"/>
        </w:rPr>
        <w:t>,</w:t>
      </w:r>
      <w:r w:rsidR="002203B9" w:rsidRPr="00284FBF">
        <w:rPr>
          <w:color w:val="000000"/>
          <w:szCs w:val="28"/>
        </w:rPr>
        <w:t xml:space="preserve"> приор</w:t>
      </w:r>
      <w:r w:rsidR="009B14F3" w:rsidRPr="00284FBF">
        <w:rPr>
          <w:color w:val="000000"/>
          <w:szCs w:val="28"/>
        </w:rPr>
        <w:t>итетны</w:t>
      </w:r>
      <w:r w:rsidR="00284FBF">
        <w:rPr>
          <w:color w:val="000000"/>
          <w:szCs w:val="28"/>
        </w:rPr>
        <w:t>ми</w:t>
      </w:r>
      <w:r w:rsidR="009B14F3" w:rsidRPr="00284FBF">
        <w:rPr>
          <w:color w:val="000000"/>
          <w:szCs w:val="28"/>
        </w:rPr>
        <w:t xml:space="preserve"> </w:t>
      </w:r>
      <w:r w:rsidR="002203B9" w:rsidRPr="00284FBF">
        <w:rPr>
          <w:color w:val="000000"/>
          <w:szCs w:val="28"/>
        </w:rPr>
        <w:t>направлени</w:t>
      </w:r>
      <w:r w:rsidR="00284FBF">
        <w:rPr>
          <w:color w:val="000000"/>
          <w:szCs w:val="28"/>
        </w:rPr>
        <w:t>ями,</w:t>
      </w:r>
      <w:r w:rsidR="002203B9" w:rsidRPr="00284FBF">
        <w:rPr>
          <w:color w:val="000000"/>
          <w:szCs w:val="28"/>
        </w:rPr>
        <w:t xml:space="preserve"> утвержденны</w:t>
      </w:r>
      <w:r w:rsidR="00284FBF">
        <w:rPr>
          <w:color w:val="000000"/>
          <w:szCs w:val="28"/>
        </w:rPr>
        <w:t>ми</w:t>
      </w:r>
      <w:r w:rsidR="002203B9" w:rsidRPr="00284FBF">
        <w:rPr>
          <w:color w:val="000000"/>
          <w:szCs w:val="28"/>
        </w:rPr>
        <w:t xml:space="preserve"> на федеральном и региональном уровне</w:t>
      </w:r>
      <w:r w:rsidR="00284FBF">
        <w:rPr>
          <w:color w:val="000000"/>
          <w:szCs w:val="28"/>
        </w:rPr>
        <w:t>, а также с</w:t>
      </w:r>
      <w:r w:rsidR="00284FBF" w:rsidRPr="00284FBF">
        <w:rPr>
          <w:szCs w:val="28"/>
        </w:rPr>
        <w:t xml:space="preserve"> учетом </w:t>
      </w:r>
      <w:r w:rsidR="00946B9D" w:rsidRPr="00284FBF">
        <w:rPr>
          <w:szCs w:val="28"/>
        </w:rPr>
        <w:t>следующ</w:t>
      </w:r>
      <w:r w:rsidR="00946B9D">
        <w:rPr>
          <w:szCs w:val="28"/>
        </w:rPr>
        <w:t xml:space="preserve">ей </w:t>
      </w:r>
      <w:r w:rsidR="00946B9D" w:rsidRPr="00946B9D">
        <w:rPr>
          <w:color w:val="000000" w:themeColor="text1"/>
          <w:szCs w:val="28"/>
        </w:rPr>
        <w:t xml:space="preserve">необходимости: </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достижения национальных целей развития Российской Федерации,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 204), а также целей и целевых показателей, задач национальных проектов (программ), формируемых в соответствии с данным Указом;</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обеспечения целевых показателей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2012 года) на достигнутом уровне ежегодно с 1 января 2019-2021 годов;</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индексации заработных плат по тем категориям, на которые не распространяются Указы Президента Российской Федерации на прогнозируемый уровень инфляции с 1 октября 2019 года.;</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 xml:space="preserve">оплаты труда с учетом положений Федерального закона от 19 июня 2000 года № 82-ФЗ «О минимальном размере оплаты труда» (в редакции Федерального закона от 7 марта 2018 года № 41-ФЗ «О внесении изменения в статью 1 Федерального закона «О минимальном размере оплаты труда»). </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увеличения бюджетных ассигнований в связи с ежегодной индексацией публичных нормативных обязательств и иных социальных выплат населению на прогнозный уровень инфляции за предыдущий год;</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завершения строительства переходящих (ранее начатых) объектов капитального строительства и оснащения социально значимых объектов с высокой степенью готовности к вводу в эксплуатацию, финансирования объектов, готовых в соответствии с требованиями, предусмотренными законодательством Российской Федерации к началу строительства (включая наличие утвержденной проектной документации и решений о предоставлении земельных участков под строительство);</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уплаты налогов и сборов в соответствии с законодательством Российской Федерации о налогах и сборах;</w:t>
      </w:r>
    </w:p>
    <w:p w:rsidR="00946B9D" w:rsidRPr="00946B9D" w:rsidRDefault="00946B9D" w:rsidP="00946B9D">
      <w:pPr>
        <w:shd w:val="clear" w:color="auto" w:fill="FFFFFF"/>
        <w:tabs>
          <w:tab w:val="left" w:pos="9792"/>
        </w:tabs>
        <w:ind w:firstLine="540"/>
        <w:jc w:val="both"/>
        <w:rPr>
          <w:color w:val="000000" w:themeColor="text1"/>
          <w:szCs w:val="28"/>
        </w:rPr>
      </w:pPr>
      <w:r w:rsidRPr="00946B9D">
        <w:rPr>
          <w:color w:val="000000" w:themeColor="text1"/>
          <w:szCs w:val="28"/>
        </w:rPr>
        <w:t>уточнения объема бюджетных ассигнований дорожного фонда исходя из прогноза поступления доходов, являющихся источниками формирования дорожного фонда, в том числе доходов от штрафов за нарушение правил дорожного движения.</w:t>
      </w:r>
    </w:p>
    <w:p w:rsidR="00F875DD" w:rsidRDefault="00946B9D" w:rsidP="00946B9D">
      <w:pPr>
        <w:shd w:val="clear" w:color="auto" w:fill="FFFFFF"/>
        <w:ind w:firstLine="567"/>
        <w:jc w:val="both"/>
        <w:rPr>
          <w:color w:val="000000" w:themeColor="text1"/>
          <w:szCs w:val="28"/>
        </w:rPr>
      </w:pPr>
      <w:r w:rsidRPr="00946B9D">
        <w:rPr>
          <w:color w:val="000000" w:themeColor="text1"/>
          <w:szCs w:val="28"/>
        </w:rPr>
        <w:t>уточнение законодательно установленного объема бюджетных ассигнований на обслуживание государственного долга Российской Федерации.</w:t>
      </w:r>
    </w:p>
    <w:p w:rsidR="00946B9D" w:rsidRDefault="00946B9D" w:rsidP="00946B9D">
      <w:pPr>
        <w:shd w:val="clear" w:color="auto" w:fill="FFFFFF"/>
        <w:ind w:firstLine="567"/>
        <w:jc w:val="both"/>
        <w:rPr>
          <w:color w:val="000000" w:themeColor="text1"/>
          <w:szCs w:val="28"/>
        </w:rPr>
      </w:pPr>
    </w:p>
    <w:p w:rsidR="00946B9D" w:rsidRDefault="00946B9D" w:rsidP="00946B9D">
      <w:pPr>
        <w:shd w:val="clear" w:color="auto" w:fill="FFFFFF"/>
        <w:ind w:firstLine="567"/>
        <w:jc w:val="both"/>
        <w:rPr>
          <w:color w:val="000000" w:themeColor="text1"/>
          <w:szCs w:val="28"/>
        </w:rPr>
      </w:pPr>
    </w:p>
    <w:p w:rsidR="00946B9D" w:rsidRDefault="00946B9D" w:rsidP="00946B9D">
      <w:pPr>
        <w:shd w:val="clear" w:color="auto" w:fill="FFFFFF"/>
        <w:ind w:firstLine="567"/>
        <w:jc w:val="both"/>
        <w:rPr>
          <w:color w:val="000000" w:themeColor="text1"/>
          <w:szCs w:val="28"/>
        </w:rPr>
      </w:pPr>
    </w:p>
    <w:p w:rsidR="00946B9D" w:rsidRPr="00946B9D" w:rsidRDefault="00946B9D" w:rsidP="00946B9D">
      <w:pPr>
        <w:shd w:val="clear" w:color="auto" w:fill="FFFFFF"/>
        <w:ind w:firstLine="567"/>
        <w:jc w:val="both"/>
        <w:rPr>
          <w:color w:val="000000" w:themeColor="text1"/>
          <w:szCs w:val="28"/>
        </w:rPr>
      </w:pPr>
    </w:p>
    <w:p w:rsidR="00946B9D" w:rsidRPr="00946B9D" w:rsidRDefault="00946B9D" w:rsidP="00946B9D">
      <w:pPr>
        <w:shd w:val="clear" w:color="auto" w:fill="FFFFFF"/>
        <w:ind w:firstLine="567"/>
        <w:jc w:val="both"/>
        <w:rPr>
          <w:color w:val="FF0000"/>
          <w:szCs w:val="28"/>
        </w:rPr>
      </w:pPr>
    </w:p>
    <w:p w:rsidR="00837468" w:rsidRDefault="00837468" w:rsidP="00837468">
      <w:pPr>
        <w:shd w:val="clear" w:color="auto" w:fill="FFFFFF"/>
        <w:tabs>
          <w:tab w:val="left" w:pos="9792"/>
        </w:tabs>
        <w:ind w:firstLine="540"/>
        <w:jc w:val="both"/>
        <w:rPr>
          <w:szCs w:val="28"/>
        </w:rPr>
      </w:pPr>
      <w:r>
        <w:rPr>
          <w:szCs w:val="28"/>
        </w:rPr>
        <w:lastRenderedPageBreak/>
        <w:t xml:space="preserve">Основные параметры областного бюджета на </w:t>
      </w:r>
      <w:r w:rsidRPr="00837468">
        <w:rPr>
          <w:szCs w:val="28"/>
        </w:rPr>
        <w:t>2019 год</w:t>
      </w:r>
      <w:r>
        <w:rPr>
          <w:szCs w:val="28"/>
        </w:rPr>
        <w:t xml:space="preserve"> </w:t>
      </w:r>
      <w:r w:rsidRPr="00837468">
        <w:rPr>
          <w:szCs w:val="28"/>
        </w:rPr>
        <w:t>и плановый период 2020 и 2021 годов</w:t>
      </w:r>
      <w:r>
        <w:rPr>
          <w:szCs w:val="28"/>
        </w:rPr>
        <w:t xml:space="preserve"> представлены в таблице 3. </w:t>
      </w:r>
    </w:p>
    <w:p w:rsidR="00414C90" w:rsidRPr="0004774D" w:rsidRDefault="00642FF5" w:rsidP="00C049AA">
      <w:pPr>
        <w:ind w:firstLine="851"/>
        <w:jc w:val="right"/>
        <w:rPr>
          <w:rFonts w:eastAsiaTheme="minorHAnsi"/>
          <w:sz w:val="24"/>
          <w:szCs w:val="24"/>
          <w:lang w:eastAsia="en-US"/>
        </w:rPr>
      </w:pPr>
      <w:r w:rsidRPr="0004774D">
        <w:rPr>
          <w:rFonts w:eastAsiaTheme="minorHAnsi"/>
          <w:sz w:val="24"/>
          <w:szCs w:val="24"/>
          <w:lang w:eastAsia="en-US"/>
        </w:rPr>
        <w:t>Таблица № 3</w:t>
      </w:r>
    </w:p>
    <w:p w:rsidR="004824B9" w:rsidRPr="004824B9" w:rsidRDefault="004824B9" w:rsidP="004824B9">
      <w:pPr>
        <w:widowControl w:val="0"/>
        <w:jc w:val="right"/>
        <w:rPr>
          <w:i/>
          <w:snapToGrid w:val="0"/>
          <w:sz w:val="24"/>
          <w:szCs w:val="24"/>
        </w:rPr>
      </w:pPr>
      <w:r w:rsidRPr="004824B9">
        <w:rPr>
          <w:i/>
          <w:snapToGrid w:val="0"/>
          <w:sz w:val="24"/>
          <w:szCs w:val="24"/>
        </w:rPr>
        <w:t>млн руб.</w:t>
      </w:r>
    </w:p>
    <w:tbl>
      <w:tblPr>
        <w:tblW w:w="10344" w:type="dxa"/>
        <w:tblLook w:val="04A0" w:firstRow="1" w:lastRow="0" w:firstColumn="1" w:lastColumn="0" w:noHBand="0" w:noVBand="1"/>
      </w:tblPr>
      <w:tblGrid>
        <w:gridCol w:w="3964"/>
        <w:gridCol w:w="1701"/>
        <w:gridCol w:w="1560"/>
        <w:gridCol w:w="1559"/>
        <w:gridCol w:w="1560"/>
      </w:tblGrid>
      <w:tr w:rsidR="00BD18BD" w:rsidRPr="00BD18BD" w:rsidTr="00E03A92">
        <w:trPr>
          <w:trHeight w:val="387"/>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68FE" w:rsidRPr="00BD18BD" w:rsidRDefault="001268FE" w:rsidP="00E03A92">
            <w:pPr>
              <w:jc w:val="center"/>
              <w:rPr>
                <w:color w:val="000000" w:themeColor="text1"/>
                <w:sz w:val="24"/>
                <w:szCs w:val="24"/>
              </w:rPr>
            </w:pPr>
            <w:r w:rsidRPr="00BD18BD">
              <w:rPr>
                <w:color w:val="000000" w:themeColor="text1"/>
                <w:sz w:val="24"/>
                <w:szCs w:val="24"/>
              </w:rPr>
              <w:t>Показатель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68FE" w:rsidRPr="00BD18BD" w:rsidRDefault="001268FE" w:rsidP="00E03A92">
            <w:pPr>
              <w:jc w:val="center"/>
              <w:rPr>
                <w:color w:val="000000" w:themeColor="text1"/>
                <w:sz w:val="24"/>
                <w:szCs w:val="24"/>
              </w:rPr>
            </w:pPr>
            <w:r w:rsidRPr="00BD18BD">
              <w:rPr>
                <w:color w:val="000000" w:themeColor="text1"/>
                <w:sz w:val="24"/>
                <w:szCs w:val="24"/>
              </w:rPr>
              <w:t xml:space="preserve">2018 год </w:t>
            </w:r>
            <w:r w:rsidRPr="00BD18BD">
              <w:rPr>
                <w:color w:val="000000" w:themeColor="text1"/>
                <w:sz w:val="24"/>
                <w:szCs w:val="24"/>
              </w:rPr>
              <w:br/>
              <w:t>(35-ЗО)</w:t>
            </w:r>
          </w:p>
        </w:tc>
        <w:tc>
          <w:tcPr>
            <w:tcW w:w="4679" w:type="dxa"/>
            <w:gridSpan w:val="3"/>
            <w:tcBorders>
              <w:top w:val="single" w:sz="4" w:space="0" w:color="auto"/>
              <w:left w:val="nil"/>
              <w:bottom w:val="single" w:sz="4" w:space="0" w:color="auto"/>
              <w:right w:val="single" w:sz="4" w:space="0" w:color="auto"/>
            </w:tcBorders>
            <w:shd w:val="clear" w:color="auto" w:fill="auto"/>
            <w:hideMark/>
          </w:tcPr>
          <w:p w:rsidR="001268FE" w:rsidRPr="00BD18BD" w:rsidRDefault="001268FE" w:rsidP="00E03A92">
            <w:pPr>
              <w:jc w:val="center"/>
              <w:rPr>
                <w:color w:val="000000" w:themeColor="text1"/>
                <w:sz w:val="24"/>
                <w:szCs w:val="24"/>
              </w:rPr>
            </w:pPr>
            <w:r w:rsidRPr="00BD18BD">
              <w:rPr>
                <w:color w:val="000000" w:themeColor="text1"/>
                <w:sz w:val="24"/>
                <w:szCs w:val="24"/>
              </w:rPr>
              <w:t>законопроект</w:t>
            </w:r>
          </w:p>
        </w:tc>
      </w:tr>
      <w:tr w:rsidR="00BD18BD" w:rsidRPr="00BD18BD" w:rsidTr="00E03A92">
        <w:trPr>
          <w:trHeight w:val="360"/>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1268FE" w:rsidRPr="00BD18BD" w:rsidRDefault="001268FE" w:rsidP="00E03A92">
            <w:pPr>
              <w:rPr>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68FE" w:rsidRPr="00BD18BD" w:rsidRDefault="001268FE" w:rsidP="00E03A92">
            <w:pPr>
              <w:rPr>
                <w:color w:val="000000" w:themeColor="text1"/>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1268FE" w:rsidRPr="00BD18BD" w:rsidRDefault="001268FE" w:rsidP="00E03A92">
            <w:pPr>
              <w:jc w:val="center"/>
              <w:rPr>
                <w:color w:val="000000" w:themeColor="text1"/>
                <w:sz w:val="24"/>
                <w:szCs w:val="24"/>
              </w:rPr>
            </w:pPr>
            <w:r w:rsidRPr="00BD18BD">
              <w:rPr>
                <w:color w:val="000000" w:themeColor="text1"/>
                <w:sz w:val="24"/>
                <w:szCs w:val="24"/>
              </w:rPr>
              <w:t>2019</w:t>
            </w:r>
          </w:p>
        </w:tc>
        <w:tc>
          <w:tcPr>
            <w:tcW w:w="1559" w:type="dxa"/>
            <w:tcBorders>
              <w:top w:val="nil"/>
              <w:left w:val="nil"/>
              <w:bottom w:val="single" w:sz="4" w:space="0" w:color="auto"/>
              <w:right w:val="single" w:sz="4" w:space="0" w:color="auto"/>
            </w:tcBorders>
            <w:shd w:val="clear" w:color="auto" w:fill="auto"/>
            <w:vAlign w:val="center"/>
            <w:hideMark/>
          </w:tcPr>
          <w:p w:rsidR="001268FE" w:rsidRPr="00BD18BD" w:rsidRDefault="001268FE" w:rsidP="00E03A92">
            <w:pPr>
              <w:jc w:val="center"/>
              <w:rPr>
                <w:color w:val="000000" w:themeColor="text1"/>
                <w:sz w:val="24"/>
                <w:szCs w:val="24"/>
              </w:rPr>
            </w:pPr>
            <w:r w:rsidRPr="00BD18BD">
              <w:rPr>
                <w:color w:val="000000" w:themeColor="text1"/>
                <w:sz w:val="24"/>
                <w:szCs w:val="24"/>
              </w:rPr>
              <w:t>2020</w:t>
            </w:r>
          </w:p>
        </w:tc>
        <w:tc>
          <w:tcPr>
            <w:tcW w:w="1560" w:type="dxa"/>
            <w:tcBorders>
              <w:top w:val="nil"/>
              <w:left w:val="nil"/>
              <w:bottom w:val="single" w:sz="4" w:space="0" w:color="auto"/>
              <w:right w:val="single" w:sz="4" w:space="0" w:color="auto"/>
            </w:tcBorders>
            <w:shd w:val="clear" w:color="auto" w:fill="auto"/>
            <w:vAlign w:val="center"/>
            <w:hideMark/>
          </w:tcPr>
          <w:p w:rsidR="001268FE" w:rsidRPr="00BD18BD" w:rsidRDefault="001268FE" w:rsidP="00E03A92">
            <w:pPr>
              <w:jc w:val="center"/>
              <w:rPr>
                <w:color w:val="000000" w:themeColor="text1"/>
                <w:sz w:val="24"/>
                <w:szCs w:val="24"/>
              </w:rPr>
            </w:pPr>
            <w:r w:rsidRPr="00BD18BD">
              <w:rPr>
                <w:color w:val="000000" w:themeColor="text1"/>
                <w:sz w:val="24"/>
                <w:szCs w:val="24"/>
              </w:rPr>
              <w:t>2021</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Доходы, всего</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55 218,1</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59 384,4</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58 485,7</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60 026,9</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в том числе:</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42 194,9</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46 316,0</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48 749,4</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52 219,3</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безвозмездные поступления</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13 023,2</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13 068,3</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9 736,3</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7 807,6</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Расходы, всего</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59 180,0</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62 347,2</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59 073,4</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59 848,0</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в том числе:</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 </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за счет собственных средств</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50 298,6</w:t>
            </w:r>
          </w:p>
        </w:tc>
        <w:tc>
          <w:tcPr>
            <w:tcW w:w="1560" w:type="dxa"/>
            <w:tcBorders>
              <w:top w:val="nil"/>
              <w:left w:val="nil"/>
              <w:bottom w:val="single" w:sz="4" w:space="0" w:color="auto"/>
              <w:right w:val="single" w:sz="4" w:space="0" w:color="auto"/>
            </w:tcBorders>
            <w:shd w:val="clear" w:color="auto" w:fill="auto"/>
          </w:tcPr>
          <w:p w:rsidR="001268FE" w:rsidRPr="00BD18BD" w:rsidRDefault="001268FE" w:rsidP="00E03A92">
            <w:pPr>
              <w:jc w:val="right"/>
              <w:rPr>
                <w:color w:val="000000" w:themeColor="text1"/>
                <w:sz w:val="24"/>
                <w:szCs w:val="24"/>
              </w:rPr>
            </w:pPr>
            <w:r w:rsidRPr="00BD18BD">
              <w:rPr>
                <w:color w:val="000000" w:themeColor="text1"/>
                <w:sz w:val="24"/>
                <w:szCs w:val="24"/>
              </w:rPr>
              <w:t>53 641,9</w:t>
            </w:r>
          </w:p>
        </w:tc>
        <w:tc>
          <w:tcPr>
            <w:tcW w:w="1559" w:type="dxa"/>
            <w:tcBorders>
              <w:top w:val="nil"/>
              <w:left w:val="nil"/>
              <w:bottom w:val="single" w:sz="4" w:space="0" w:color="auto"/>
              <w:right w:val="single" w:sz="4" w:space="0" w:color="auto"/>
            </w:tcBorders>
            <w:shd w:val="clear" w:color="auto" w:fill="auto"/>
          </w:tcPr>
          <w:p w:rsidR="001268FE" w:rsidRPr="00BD18BD" w:rsidRDefault="001268FE" w:rsidP="00E03A92">
            <w:pPr>
              <w:jc w:val="right"/>
              <w:rPr>
                <w:color w:val="000000" w:themeColor="text1"/>
                <w:sz w:val="24"/>
                <w:szCs w:val="24"/>
              </w:rPr>
            </w:pPr>
            <w:r w:rsidRPr="00BD18BD">
              <w:rPr>
                <w:color w:val="000000" w:themeColor="text1"/>
                <w:sz w:val="24"/>
                <w:szCs w:val="24"/>
              </w:rPr>
              <w:t>49 869,9</w:t>
            </w:r>
          </w:p>
        </w:tc>
        <w:tc>
          <w:tcPr>
            <w:tcW w:w="1560" w:type="dxa"/>
            <w:tcBorders>
              <w:top w:val="nil"/>
              <w:left w:val="nil"/>
              <w:bottom w:val="single" w:sz="4" w:space="0" w:color="auto"/>
              <w:right w:val="single" w:sz="4" w:space="0" w:color="auto"/>
            </w:tcBorders>
            <w:shd w:val="clear" w:color="auto" w:fill="auto"/>
          </w:tcPr>
          <w:p w:rsidR="001268FE" w:rsidRPr="00BD18BD" w:rsidRDefault="001268FE" w:rsidP="00E03A92">
            <w:pPr>
              <w:jc w:val="right"/>
              <w:rPr>
                <w:color w:val="000000" w:themeColor="text1"/>
                <w:sz w:val="24"/>
                <w:szCs w:val="24"/>
              </w:rPr>
            </w:pPr>
            <w:r w:rsidRPr="00BD18BD">
              <w:rPr>
                <w:color w:val="000000" w:themeColor="text1"/>
                <w:sz w:val="24"/>
                <w:szCs w:val="24"/>
              </w:rPr>
              <w:t>50 985,6</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за счет целевых средств</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8 881,5</w:t>
            </w:r>
          </w:p>
        </w:tc>
        <w:tc>
          <w:tcPr>
            <w:tcW w:w="1560" w:type="dxa"/>
            <w:tcBorders>
              <w:top w:val="nil"/>
              <w:left w:val="nil"/>
              <w:bottom w:val="single" w:sz="4" w:space="0" w:color="auto"/>
              <w:right w:val="single" w:sz="4" w:space="0" w:color="auto"/>
            </w:tcBorders>
            <w:shd w:val="clear" w:color="auto" w:fill="auto"/>
          </w:tcPr>
          <w:p w:rsidR="001268FE" w:rsidRPr="00BD18BD" w:rsidRDefault="001268FE" w:rsidP="00E03A92">
            <w:pPr>
              <w:jc w:val="right"/>
              <w:rPr>
                <w:color w:val="000000" w:themeColor="text1"/>
                <w:sz w:val="24"/>
                <w:szCs w:val="24"/>
              </w:rPr>
            </w:pPr>
            <w:r w:rsidRPr="00BD18BD">
              <w:rPr>
                <w:color w:val="000000" w:themeColor="text1"/>
                <w:sz w:val="24"/>
                <w:szCs w:val="24"/>
              </w:rPr>
              <w:t>8 705,3</w:t>
            </w:r>
          </w:p>
        </w:tc>
        <w:tc>
          <w:tcPr>
            <w:tcW w:w="1559" w:type="dxa"/>
            <w:tcBorders>
              <w:top w:val="nil"/>
              <w:left w:val="nil"/>
              <w:bottom w:val="single" w:sz="4" w:space="0" w:color="auto"/>
              <w:right w:val="single" w:sz="4" w:space="0" w:color="auto"/>
            </w:tcBorders>
            <w:shd w:val="clear" w:color="auto" w:fill="auto"/>
          </w:tcPr>
          <w:p w:rsidR="001268FE" w:rsidRPr="00BD18BD" w:rsidRDefault="001268FE" w:rsidP="00E03A92">
            <w:pPr>
              <w:jc w:val="right"/>
              <w:rPr>
                <w:color w:val="000000" w:themeColor="text1"/>
                <w:sz w:val="24"/>
                <w:szCs w:val="24"/>
              </w:rPr>
            </w:pPr>
            <w:r w:rsidRPr="00BD18BD">
              <w:rPr>
                <w:color w:val="000000" w:themeColor="text1"/>
                <w:sz w:val="24"/>
                <w:szCs w:val="24"/>
              </w:rPr>
              <w:t>7 603,2</w:t>
            </w:r>
          </w:p>
        </w:tc>
        <w:tc>
          <w:tcPr>
            <w:tcW w:w="1560" w:type="dxa"/>
            <w:tcBorders>
              <w:top w:val="nil"/>
              <w:left w:val="nil"/>
              <w:bottom w:val="single" w:sz="4" w:space="0" w:color="auto"/>
              <w:right w:val="single" w:sz="4" w:space="0" w:color="auto"/>
            </w:tcBorders>
            <w:shd w:val="clear" w:color="auto" w:fill="auto"/>
          </w:tcPr>
          <w:p w:rsidR="001268FE" w:rsidRPr="00BD18BD" w:rsidRDefault="001268FE" w:rsidP="00E03A92">
            <w:pPr>
              <w:jc w:val="right"/>
              <w:rPr>
                <w:color w:val="000000" w:themeColor="text1"/>
                <w:sz w:val="24"/>
                <w:szCs w:val="24"/>
              </w:rPr>
            </w:pPr>
            <w:r w:rsidRPr="00BD18BD">
              <w:rPr>
                <w:color w:val="000000" w:themeColor="text1"/>
                <w:sz w:val="24"/>
                <w:szCs w:val="24"/>
              </w:rPr>
              <w:t>5 849,7</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color w:val="000000" w:themeColor="text1"/>
                <w:sz w:val="24"/>
                <w:szCs w:val="24"/>
              </w:rPr>
            </w:pPr>
            <w:r w:rsidRPr="00BD18BD">
              <w:rPr>
                <w:color w:val="000000" w:themeColor="text1"/>
                <w:sz w:val="24"/>
                <w:szCs w:val="24"/>
              </w:rPr>
              <w:t>Условно утвержденные расходы</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0,0</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0,0</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1 600,3</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color w:val="000000" w:themeColor="text1"/>
                <w:sz w:val="24"/>
                <w:szCs w:val="24"/>
              </w:rPr>
            </w:pPr>
            <w:r w:rsidRPr="00BD18BD">
              <w:rPr>
                <w:color w:val="000000" w:themeColor="text1"/>
                <w:sz w:val="24"/>
                <w:szCs w:val="24"/>
              </w:rPr>
              <w:t>3 012,7</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Дефицит</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-3 962,0</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-2 962,8</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-587,8</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178,9</w:t>
            </w:r>
          </w:p>
        </w:tc>
      </w:tr>
      <w:tr w:rsidR="00BD18BD" w:rsidRPr="00BD18BD" w:rsidTr="00E03A92">
        <w:trPr>
          <w:trHeight w:val="255"/>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Государственный долг</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25 111,0</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24 661,0</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24 211,0</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23 157,4</w:t>
            </w:r>
          </w:p>
        </w:tc>
      </w:tr>
      <w:tr w:rsidR="00BD18BD" w:rsidRPr="00BD18BD" w:rsidTr="00E03A92">
        <w:trPr>
          <w:trHeight w:val="510"/>
        </w:trPr>
        <w:tc>
          <w:tcPr>
            <w:tcW w:w="3964" w:type="dxa"/>
            <w:tcBorders>
              <w:top w:val="nil"/>
              <w:left w:val="single" w:sz="4" w:space="0" w:color="auto"/>
              <w:bottom w:val="single" w:sz="4" w:space="0" w:color="auto"/>
              <w:right w:val="single" w:sz="4" w:space="0" w:color="auto"/>
            </w:tcBorders>
            <w:shd w:val="clear" w:color="auto" w:fill="auto"/>
            <w:hideMark/>
          </w:tcPr>
          <w:p w:rsidR="001268FE" w:rsidRPr="00BD18BD" w:rsidRDefault="001268FE" w:rsidP="00E03A92">
            <w:pPr>
              <w:rPr>
                <w:b/>
                <w:bCs/>
                <w:color w:val="000000" w:themeColor="text1"/>
                <w:sz w:val="24"/>
                <w:szCs w:val="24"/>
              </w:rPr>
            </w:pPr>
            <w:r w:rsidRPr="00BD18BD">
              <w:rPr>
                <w:b/>
                <w:bCs/>
                <w:color w:val="000000" w:themeColor="text1"/>
                <w:sz w:val="24"/>
                <w:szCs w:val="24"/>
              </w:rPr>
              <w:t>в % к налоговым и неналоговым доходам</w:t>
            </w:r>
          </w:p>
        </w:tc>
        <w:tc>
          <w:tcPr>
            <w:tcW w:w="1701"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59,5</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53,2</w:t>
            </w:r>
          </w:p>
        </w:tc>
        <w:tc>
          <w:tcPr>
            <w:tcW w:w="1559"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49,7</w:t>
            </w:r>
          </w:p>
        </w:tc>
        <w:tc>
          <w:tcPr>
            <w:tcW w:w="1560" w:type="dxa"/>
            <w:tcBorders>
              <w:top w:val="nil"/>
              <w:left w:val="nil"/>
              <w:bottom w:val="single" w:sz="4" w:space="0" w:color="auto"/>
              <w:right w:val="single" w:sz="4" w:space="0" w:color="auto"/>
            </w:tcBorders>
            <w:shd w:val="clear" w:color="auto" w:fill="auto"/>
            <w:hideMark/>
          </w:tcPr>
          <w:p w:rsidR="001268FE" w:rsidRPr="00BD18BD" w:rsidRDefault="001268FE" w:rsidP="00E03A92">
            <w:pPr>
              <w:jc w:val="right"/>
              <w:rPr>
                <w:b/>
                <w:bCs/>
                <w:color w:val="000000" w:themeColor="text1"/>
                <w:sz w:val="24"/>
                <w:szCs w:val="24"/>
              </w:rPr>
            </w:pPr>
            <w:r w:rsidRPr="00BD18BD">
              <w:rPr>
                <w:b/>
                <w:bCs/>
                <w:color w:val="000000" w:themeColor="text1"/>
                <w:sz w:val="24"/>
                <w:szCs w:val="24"/>
              </w:rPr>
              <w:t>44,3</w:t>
            </w:r>
          </w:p>
        </w:tc>
      </w:tr>
    </w:tbl>
    <w:p w:rsidR="00AF5A37" w:rsidRPr="00C941F3" w:rsidRDefault="00AF5A37" w:rsidP="00AF5A37">
      <w:pPr>
        <w:shd w:val="clear" w:color="auto" w:fill="FFFFFF"/>
        <w:tabs>
          <w:tab w:val="left" w:pos="9792"/>
        </w:tabs>
        <w:ind w:firstLine="540"/>
        <w:jc w:val="center"/>
        <w:rPr>
          <w:color w:val="000000"/>
          <w:szCs w:val="28"/>
          <w:highlight w:val="yellow"/>
        </w:rPr>
      </w:pP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В целях развития финансово-бюджетной системы на среднесрочную перспективу Тверская область исходит из необходимости решения следующих основных задач:</w:t>
      </w: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оптимизация бюджетных расходов Тверской области имеющих низкую степень эффективности и не оказывающих ускоренного влияния на социально-экономическое развитие Тверской области;</w:t>
      </w: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осуществление инвентаризации полномочий Тверской области, в соответствии с которыми осуществляется планирование и расходование средств областного бюджета Тверской области, в том числе определение нормативно правового основания для осуществления финансового обеспечения полномочий Тверской области;</w:t>
      </w: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обеспечение выполнения условий предоставления финансовой поддержки из федерального бюджета в виде дотаций и бюджетных кредитов;</w:t>
      </w: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повышение эффективности и результативности расходования средств областного бюджета, направляемых на финансирование выполнения государственных заданий государственными учреждениями Тверской области путем внедрения механизма возврата остатка субсидии в областной бюджет в случае невыполнения государственного задания;</w:t>
      </w:r>
    </w:p>
    <w:p w:rsidR="00BE0E80" w:rsidRPr="0035467D" w:rsidRDefault="00BE0E80" w:rsidP="0004774D">
      <w:pPr>
        <w:tabs>
          <w:tab w:val="left" w:pos="9792"/>
        </w:tabs>
        <w:ind w:firstLine="709"/>
        <w:jc w:val="both"/>
        <w:rPr>
          <w:color w:val="000000"/>
          <w:szCs w:val="28"/>
        </w:rPr>
      </w:pPr>
      <w:r w:rsidRPr="0035467D">
        <w:rPr>
          <w:color w:val="000000"/>
          <w:szCs w:val="28"/>
        </w:rPr>
        <w:t>продолжение практики реализации механизмов выявления и минимизации неэффективных расходов местных бюджетов, включая разработку и реализацию планов финансового оздоровления, проведение процедур укрупнения муниципальных образований;</w:t>
      </w:r>
    </w:p>
    <w:p w:rsidR="00BE0E80" w:rsidRPr="0035467D" w:rsidRDefault="00BE0E80" w:rsidP="0004774D">
      <w:pPr>
        <w:tabs>
          <w:tab w:val="left" w:pos="9792"/>
        </w:tabs>
        <w:ind w:firstLine="709"/>
        <w:jc w:val="both"/>
        <w:rPr>
          <w:color w:val="000000"/>
          <w:szCs w:val="28"/>
        </w:rPr>
      </w:pPr>
      <w:r w:rsidRPr="0035467D">
        <w:rPr>
          <w:color w:val="000000"/>
          <w:szCs w:val="28"/>
        </w:rPr>
        <w:t>доработка и последующая реализация мер, направленных на мобилизацию налоговых, неналоговых доходов и развитие экономического потенциала муниципальных образований;</w:t>
      </w:r>
    </w:p>
    <w:p w:rsidR="00BE0E80" w:rsidRPr="0035467D" w:rsidRDefault="00BE0E80" w:rsidP="0004774D">
      <w:pPr>
        <w:tabs>
          <w:tab w:val="left" w:pos="9792"/>
        </w:tabs>
        <w:ind w:firstLine="709"/>
        <w:jc w:val="both"/>
        <w:rPr>
          <w:color w:val="000000"/>
          <w:szCs w:val="28"/>
        </w:rPr>
      </w:pPr>
      <w:r w:rsidRPr="0035467D">
        <w:rPr>
          <w:color w:val="000000"/>
          <w:szCs w:val="28"/>
        </w:rPr>
        <w:t>дальнейшее развитие Программы поддержки местных инициатив, проявившей себя как эффективный способ выявления и решения жизненно важных вопросов локальных сообществ;</w:t>
      </w:r>
    </w:p>
    <w:p w:rsidR="00BE0E80" w:rsidRPr="0035467D" w:rsidRDefault="00BE0E80" w:rsidP="0004774D">
      <w:pPr>
        <w:tabs>
          <w:tab w:val="left" w:pos="9792"/>
        </w:tabs>
        <w:ind w:firstLine="709"/>
        <w:jc w:val="both"/>
        <w:rPr>
          <w:color w:val="000000"/>
          <w:szCs w:val="28"/>
        </w:rPr>
      </w:pPr>
      <w:r w:rsidRPr="0035467D">
        <w:rPr>
          <w:color w:val="000000"/>
          <w:szCs w:val="28"/>
        </w:rPr>
        <w:lastRenderedPageBreak/>
        <w:t>повышение эффективности и результативности имеющихся инструментов программно-целевого управления и бюджетирования;</w:t>
      </w: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создание 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w:t>
      </w:r>
    </w:p>
    <w:p w:rsidR="00BE0E80" w:rsidRPr="0035467D" w:rsidRDefault="00BE0E80" w:rsidP="0004774D">
      <w:pPr>
        <w:shd w:val="clear" w:color="auto" w:fill="FFFFFF"/>
        <w:tabs>
          <w:tab w:val="left" w:pos="9792"/>
        </w:tabs>
        <w:ind w:firstLine="709"/>
        <w:jc w:val="both"/>
        <w:rPr>
          <w:color w:val="000000"/>
          <w:szCs w:val="28"/>
        </w:rPr>
      </w:pPr>
      <w:r w:rsidRPr="0035467D">
        <w:rPr>
          <w:color w:val="000000"/>
          <w:szCs w:val="28"/>
        </w:rPr>
        <w:t>вовлечение граждан в процедуры обсуждения и принятия бюджетных решений.</w:t>
      </w:r>
    </w:p>
    <w:p w:rsidR="00C94F96" w:rsidRDefault="00EF70EF" w:rsidP="0004774D">
      <w:pPr>
        <w:pStyle w:val="a3"/>
        <w:ind w:firstLine="709"/>
        <w:jc w:val="both"/>
        <w:rPr>
          <w:rFonts w:ascii="Times New Roman" w:hAnsi="Times New Roman" w:cs="Times New Roman"/>
          <w:sz w:val="28"/>
          <w:szCs w:val="28"/>
        </w:rPr>
      </w:pPr>
      <w:r w:rsidRPr="00284FBF">
        <w:rPr>
          <w:rFonts w:ascii="Times New Roman" w:hAnsi="Times New Roman" w:cs="Times New Roman"/>
          <w:sz w:val="28"/>
          <w:szCs w:val="28"/>
        </w:rPr>
        <w:t>Проект областного бюджета Тверской области на 201</w:t>
      </w:r>
      <w:r w:rsidR="00C94F96">
        <w:rPr>
          <w:rFonts w:ascii="Times New Roman" w:hAnsi="Times New Roman" w:cs="Times New Roman"/>
          <w:sz w:val="28"/>
          <w:szCs w:val="28"/>
        </w:rPr>
        <w:t>9</w:t>
      </w:r>
      <w:r w:rsidRPr="00284FBF">
        <w:rPr>
          <w:rFonts w:ascii="Times New Roman" w:hAnsi="Times New Roman" w:cs="Times New Roman"/>
          <w:sz w:val="28"/>
          <w:szCs w:val="28"/>
        </w:rPr>
        <w:t xml:space="preserve"> год</w:t>
      </w:r>
      <w:r w:rsidR="0072602A" w:rsidRPr="00284FBF">
        <w:rPr>
          <w:rFonts w:ascii="Times New Roman" w:hAnsi="Times New Roman" w:cs="Times New Roman"/>
          <w:sz w:val="28"/>
          <w:szCs w:val="28"/>
        </w:rPr>
        <w:t xml:space="preserve"> и плановый период 20</w:t>
      </w:r>
      <w:r w:rsidR="00C94F96">
        <w:rPr>
          <w:rFonts w:ascii="Times New Roman" w:hAnsi="Times New Roman" w:cs="Times New Roman"/>
          <w:sz w:val="28"/>
          <w:szCs w:val="28"/>
        </w:rPr>
        <w:t>20</w:t>
      </w:r>
      <w:r w:rsidR="0072602A" w:rsidRPr="00284FBF">
        <w:rPr>
          <w:rFonts w:ascii="Times New Roman" w:hAnsi="Times New Roman" w:cs="Times New Roman"/>
          <w:sz w:val="28"/>
          <w:szCs w:val="28"/>
        </w:rPr>
        <w:t xml:space="preserve"> и 20</w:t>
      </w:r>
      <w:r w:rsidR="00BE0E80" w:rsidRPr="00284FBF">
        <w:rPr>
          <w:rFonts w:ascii="Times New Roman" w:hAnsi="Times New Roman" w:cs="Times New Roman"/>
          <w:sz w:val="28"/>
          <w:szCs w:val="28"/>
        </w:rPr>
        <w:t>2</w:t>
      </w:r>
      <w:r w:rsidR="00C94F96">
        <w:rPr>
          <w:rFonts w:ascii="Times New Roman" w:hAnsi="Times New Roman" w:cs="Times New Roman"/>
          <w:sz w:val="28"/>
          <w:szCs w:val="28"/>
        </w:rPr>
        <w:t>1</w:t>
      </w:r>
      <w:r w:rsidR="0072602A" w:rsidRPr="00284FBF">
        <w:rPr>
          <w:rFonts w:ascii="Times New Roman" w:hAnsi="Times New Roman" w:cs="Times New Roman"/>
          <w:sz w:val="28"/>
          <w:szCs w:val="28"/>
        </w:rPr>
        <w:t xml:space="preserve"> годов</w:t>
      </w:r>
      <w:r w:rsidRPr="00284FBF">
        <w:rPr>
          <w:rFonts w:ascii="Times New Roman" w:hAnsi="Times New Roman" w:cs="Times New Roman"/>
          <w:sz w:val="28"/>
          <w:szCs w:val="28"/>
        </w:rPr>
        <w:t xml:space="preserve"> </w:t>
      </w:r>
      <w:r w:rsidR="00C94F96">
        <w:rPr>
          <w:rFonts w:ascii="Times New Roman" w:hAnsi="Times New Roman" w:cs="Times New Roman"/>
          <w:sz w:val="28"/>
          <w:szCs w:val="28"/>
        </w:rPr>
        <w:t>с</w:t>
      </w:r>
      <w:r w:rsidR="00C94F96" w:rsidRPr="00C94F96">
        <w:rPr>
          <w:rFonts w:ascii="Times New Roman" w:hAnsi="Times New Roman" w:cs="Times New Roman"/>
          <w:sz w:val="28"/>
          <w:szCs w:val="28"/>
        </w:rPr>
        <w:t>формир</w:t>
      </w:r>
      <w:r w:rsidR="00C94F96">
        <w:rPr>
          <w:rFonts w:ascii="Times New Roman" w:hAnsi="Times New Roman" w:cs="Times New Roman"/>
          <w:sz w:val="28"/>
          <w:szCs w:val="28"/>
        </w:rPr>
        <w:t>ован</w:t>
      </w:r>
      <w:r w:rsidR="00C94F96" w:rsidRPr="00C94F96">
        <w:rPr>
          <w:rFonts w:ascii="Times New Roman" w:hAnsi="Times New Roman" w:cs="Times New Roman"/>
          <w:sz w:val="28"/>
          <w:szCs w:val="28"/>
        </w:rPr>
        <w:t xml:space="preserve"> на основе государственных программ, что позвол</w:t>
      </w:r>
      <w:r w:rsidR="00C94F96">
        <w:rPr>
          <w:rFonts w:ascii="Times New Roman" w:hAnsi="Times New Roman" w:cs="Times New Roman"/>
          <w:sz w:val="28"/>
          <w:szCs w:val="28"/>
        </w:rPr>
        <w:t>яет</w:t>
      </w:r>
      <w:r w:rsidR="00C94F96" w:rsidRPr="00C94F96">
        <w:rPr>
          <w:rFonts w:ascii="Times New Roman" w:hAnsi="Times New Roman" w:cs="Times New Roman"/>
          <w:sz w:val="28"/>
          <w:szCs w:val="28"/>
        </w:rPr>
        <w:t xml:space="preserve"> создать институциональную основу для обеспечения эффективного использования средств областного бюджета Тверской области, проведения оценки результативности и эффективности бюджетных ассигнований. </w:t>
      </w:r>
    </w:p>
    <w:p w:rsidR="00C94F96" w:rsidRDefault="00C94F96" w:rsidP="0004774D">
      <w:pPr>
        <w:pStyle w:val="a3"/>
        <w:ind w:firstLine="709"/>
        <w:jc w:val="both"/>
        <w:rPr>
          <w:rFonts w:ascii="Times New Roman" w:hAnsi="Times New Roman" w:cs="Times New Roman"/>
          <w:sz w:val="28"/>
          <w:szCs w:val="28"/>
        </w:rPr>
      </w:pPr>
      <w:r w:rsidRPr="00C94F96">
        <w:rPr>
          <w:rFonts w:ascii="Times New Roman" w:hAnsi="Times New Roman" w:cs="Times New Roman"/>
          <w:sz w:val="28"/>
          <w:szCs w:val="28"/>
        </w:rPr>
        <w:t xml:space="preserve">Такой формат областного бюджета Тверской области также способствует повышению открытости для широкой общественности информации о структуре и направлениях бюджетных расходов, осуществляемых в соответствии с полномочиями исполнительных органов государственной власти Тверской области. </w:t>
      </w:r>
    </w:p>
    <w:p w:rsidR="009A7FC2" w:rsidRPr="00284FBF" w:rsidRDefault="009A7FC2" w:rsidP="0004774D">
      <w:pPr>
        <w:pStyle w:val="a3"/>
        <w:ind w:firstLine="709"/>
        <w:jc w:val="both"/>
        <w:rPr>
          <w:rFonts w:ascii="Times New Roman" w:hAnsi="Times New Roman" w:cs="Times New Roman"/>
          <w:sz w:val="28"/>
          <w:szCs w:val="28"/>
        </w:rPr>
      </w:pPr>
      <w:r w:rsidRPr="00284FBF">
        <w:rPr>
          <w:rFonts w:ascii="Times New Roman" w:hAnsi="Times New Roman" w:cs="Times New Roman"/>
          <w:sz w:val="28"/>
          <w:szCs w:val="28"/>
        </w:rPr>
        <w:t xml:space="preserve">Государственные программы охватывают все основные сферы (направления) деятельности исполнительных органов государственной власти Тверской области. </w:t>
      </w:r>
    </w:p>
    <w:p w:rsidR="00F268DD" w:rsidRPr="00284FBF" w:rsidRDefault="009A7FC2" w:rsidP="0004774D">
      <w:pPr>
        <w:pStyle w:val="a3"/>
        <w:ind w:firstLine="709"/>
        <w:jc w:val="both"/>
        <w:rPr>
          <w:rFonts w:ascii="Times New Roman" w:hAnsi="Times New Roman" w:cs="Times New Roman"/>
          <w:sz w:val="28"/>
          <w:szCs w:val="28"/>
        </w:rPr>
      </w:pPr>
      <w:r w:rsidRPr="00284FBF">
        <w:rPr>
          <w:rFonts w:ascii="Times New Roman" w:hAnsi="Times New Roman" w:cs="Times New Roman"/>
          <w:sz w:val="28"/>
          <w:szCs w:val="28"/>
        </w:rPr>
        <w:t>Доля «программных» расходов областного бюджета Тверской области</w:t>
      </w:r>
      <w:r w:rsidR="009C10B5" w:rsidRPr="00284FBF">
        <w:rPr>
          <w:rFonts w:ascii="Times New Roman" w:hAnsi="Times New Roman" w:cs="Times New Roman"/>
          <w:sz w:val="28"/>
          <w:szCs w:val="28"/>
        </w:rPr>
        <w:t xml:space="preserve"> на </w:t>
      </w:r>
      <w:r w:rsidR="009C10B5" w:rsidRPr="00284FBF">
        <w:rPr>
          <w:rFonts w:ascii="Times New Roman" w:hAnsi="Times New Roman" w:cs="Times New Roman"/>
          <w:sz w:val="28"/>
          <w:szCs w:val="28"/>
        </w:rPr>
        <w:br/>
        <w:t>201</w:t>
      </w:r>
      <w:r w:rsidR="00C94F96">
        <w:rPr>
          <w:rFonts w:ascii="Times New Roman" w:hAnsi="Times New Roman" w:cs="Times New Roman"/>
          <w:sz w:val="28"/>
          <w:szCs w:val="28"/>
        </w:rPr>
        <w:t>9</w:t>
      </w:r>
      <w:r w:rsidR="009C10B5" w:rsidRPr="00284FBF">
        <w:rPr>
          <w:rFonts w:ascii="Times New Roman" w:hAnsi="Times New Roman" w:cs="Times New Roman"/>
          <w:sz w:val="28"/>
          <w:szCs w:val="28"/>
        </w:rPr>
        <w:t xml:space="preserve"> </w:t>
      </w:r>
      <w:r w:rsidR="009C10B5" w:rsidRPr="0004774D">
        <w:rPr>
          <w:rFonts w:ascii="Times New Roman" w:hAnsi="Times New Roman" w:cs="Times New Roman"/>
          <w:sz w:val="28"/>
          <w:szCs w:val="28"/>
        </w:rPr>
        <w:t>год</w:t>
      </w:r>
      <w:r w:rsidRPr="0004774D">
        <w:rPr>
          <w:rFonts w:ascii="Times New Roman" w:hAnsi="Times New Roman" w:cs="Times New Roman"/>
          <w:sz w:val="28"/>
          <w:szCs w:val="28"/>
        </w:rPr>
        <w:t xml:space="preserve"> составляет 9</w:t>
      </w:r>
      <w:r w:rsidR="00BE0E80" w:rsidRPr="0004774D">
        <w:rPr>
          <w:rFonts w:ascii="Times New Roman" w:hAnsi="Times New Roman" w:cs="Times New Roman"/>
          <w:sz w:val="28"/>
          <w:szCs w:val="28"/>
        </w:rPr>
        <w:t>6</w:t>
      </w:r>
      <w:r w:rsidR="00731EB7" w:rsidRPr="0004774D">
        <w:rPr>
          <w:rFonts w:ascii="Times New Roman" w:hAnsi="Times New Roman" w:cs="Times New Roman"/>
          <w:sz w:val="28"/>
          <w:szCs w:val="28"/>
        </w:rPr>
        <w:t>,</w:t>
      </w:r>
      <w:r w:rsidR="00F81F42">
        <w:rPr>
          <w:rFonts w:ascii="Times New Roman" w:hAnsi="Times New Roman" w:cs="Times New Roman"/>
          <w:sz w:val="28"/>
          <w:szCs w:val="28"/>
        </w:rPr>
        <w:t>3</w:t>
      </w:r>
      <w:r w:rsidRPr="0004774D">
        <w:rPr>
          <w:rFonts w:ascii="Times New Roman" w:hAnsi="Times New Roman" w:cs="Times New Roman"/>
          <w:sz w:val="28"/>
          <w:szCs w:val="28"/>
        </w:rPr>
        <w:t>%.</w:t>
      </w:r>
    </w:p>
    <w:p w:rsidR="00C049AA" w:rsidRPr="00F12FB4" w:rsidRDefault="00284FBF" w:rsidP="00F432CB">
      <w:pPr>
        <w:shd w:val="clear" w:color="auto" w:fill="FFFFFF"/>
        <w:ind w:firstLine="709"/>
        <w:jc w:val="both"/>
        <w:rPr>
          <w:sz w:val="24"/>
        </w:rPr>
      </w:pPr>
      <w:r w:rsidRPr="00284FBF">
        <w:rPr>
          <w:rFonts w:eastAsia="Calibri"/>
          <w:color w:val="000000"/>
          <w:szCs w:val="28"/>
          <w:lang w:eastAsia="en-US"/>
        </w:rPr>
        <w:t>Объемы бюджетных ассигнований областного бюджета на реализацию государственных программ и направлений деятельности, не входящих в государственные программы на 2019 - 2021 годы</w:t>
      </w:r>
      <w:r w:rsidR="00F432CB">
        <w:rPr>
          <w:rFonts w:eastAsia="Calibri"/>
          <w:color w:val="000000"/>
          <w:szCs w:val="28"/>
          <w:lang w:eastAsia="en-US"/>
        </w:rPr>
        <w:t>, представлены в</w:t>
      </w:r>
      <w:r w:rsidRPr="00284FBF">
        <w:rPr>
          <w:rFonts w:eastAsia="Calibri"/>
          <w:color w:val="000000"/>
          <w:szCs w:val="28"/>
          <w:lang w:eastAsia="en-US"/>
        </w:rPr>
        <w:t xml:space="preserve"> </w:t>
      </w:r>
      <w:r w:rsidR="00F268DD" w:rsidRPr="0004774D">
        <w:t xml:space="preserve">структуре расходов областного бюджета в программном разрезе </w:t>
      </w:r>
      <w:r w:rsidR="00F268DD" w:rsidRPr="00F12FB4">
        <w:t>представлена в таблице</w:t>
      </w:r>
      <w:r w:rsidR="00642FF5" w:rsidRPr="00F12FB4">
        <w:t xml:space="preserve"> 4</w:t>
      </w:r>
      <w:r w:rsidR="00F268DD" w:rsidRPr="00F12FB4">
        <w:t>.</w:t>
      </w:r>
    </w:p>
    <w:p w:rsidR="00F268DD" w:rsidRDefault="00F268DD" w:rsidP="00F268DD">
      <w:pPr>
        <w:tabs>
          <w:tab w:val="num" w:pos="1083"/>
        </w:tabs>
        <w:ind w:right="-1"/>
        <w:jc w:val="right"/>
        <w:rPr>
          <w:sz w:val="24"/>
        </w:rPr>
      </w:pPr>
      <w:r w:rsidRPr="00F12FB4">
        <w:rPr>
          <w:sz w:val="24"/>
        </w:rPr>
        <w:t xml:space="preserve">Таблица № </w:t>
      </w:r>
      <w:r w:rsidR="00642FF5" w:rsidRPr="00F12FB4">
        <w:rPr>
          <w:sz w:val="24"/>
        </w:rPr>
        <w:t>4</w:t>
      </w:r>
    </w:p>
    <w:p w:rsidR="00F12FB4" w:rsidRDefault="00F12FB4" w:rsidP="00F12FB4">
      <w:pPr>
        <w:widowControl w:val="0"/>
        <w:jc w:val="center"/>
        <w:rPr>
          <w:snapToGrid w:val="0"/>
          <w:szCs w:val="28"/>
        </w:rPr>
      </w:pPr>
      <w:r w:rsidRPr="00D938AD">
        <w:rPr>
          <w:szCs w:val="28"/>
        </w:rPr>
        <w:t xml:space="preserve">Структура расходов областного бюджета Тверской области </w:t>
      </w:r>
      <w:r w:rsidRPr="00D938AD">
        <w:rPr>
          <w:snapToGrid w:val="0"/>
          <w:szCs w:val="28"/>
        </w:rPr>
        <w:t xml:space="preserve">на 2019 год </w:t>
      </w:r>
    </w:p>
    <w:p w:rsidR="00F12FB4" w:rsidRPr="00D938AD" w:rsidRDefault="00F12FB4" w:rsidP="00F12FB4">
      <w:pPr>
        <w:widowControl w:val="0"/>
        <w:jc w:val="center"/>
        <w:rPr>
          <w:snapToGrid w:val="0"/>
          <w:szCs w:val="28"/>
        </w:rPr>
      </w:pPr>
      <w:r w:rsidRPr="00D938AD">
        <w:rPr>
          <w:snapToGrid w:val="0"/>
          <w:szCs w:val="28"/>
        </w:rPr>
        <w:t>и плановый период 2020 и 2021 годов</w:t>
      </w:r>
    </w:p>
    <w:p w:rsidR="00F12FB4" w:rsidRPr="0004774D" w:rsidRDefault="00F12FB4" w:rsidP="00F268DD">
      <w:pPr>
        <w:tabs>
          <w:tab w:val="num" w:pos="1083"/>
        </w:tabs>
        <w:ind w:right="-1"/>
        <w:jc w:val="right"/>
        <w:rPr>
          <w:sz w:val="24"/>
        </w:rPr>
      </w:pPr>
    </w:p>
    <w:tbl>
      <w:tblPr>
        <w:tblW w:w="10404" w:type="dxa"/>
        <w:tblLook w:val="04A0" w:firstRow="1" w:lastRow="0" w:firstColumn="1" w:lastColumn="0" w:noHBand="0" w:noVBand="1"/>
      </w:tblPr>
      <w:tblGrid>
        <w:gridCol w:w="680"/>
        <w:gridCol w:w="3568"/>
        <w:gridCol w:w="1701"/>
        <w:gridCol w:w="1360"/>
        <w:gridCol w:w="1532"/>
        <w:gridCol w:w="1563"/>
      </w:tblGrid>
      <w:tr w:rsidR="00F12FB4" w:rsidRPr="00F12FB4" w:rsidTr="00E03A92">
        <w:trPr>
          <w:trHeight w:val="289"/>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w:t>
            </w:r>
            <w:r w:rsidRPr="00F12FB4">
              <w:rPr>
                <w:color w:val="000000" w:themeColor="text1"/>
                <w:sz w:val="22"/>
                <w:szCs w:val="22"/>
              </w:rPr>
              <w:br/>
              <w:t xml:space="preserve"> п/п</w:t>
            </w:r>
          </w:p>
        </w:tc>
        <w:tc>
          <w:tcPr>
            <w:tcW w:w="3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Наименование</w:t>
            </w:r>
          </w:p>
        </w:tc>
        <w:tc>
          <w:tcPr>
            <w:tcW w:w="6156" w:type="dxa"/>
            <w:gridSpan w:val="4"/>
            <w:tcBorders>
              <w:top w:val="single" w:sz="4" w:space="0" w:color="auto"/>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Сумма тыс. руб.</w:t>
            </w:r>
          </w:p>
        </w:tc>
      </w:tr>
      <w:tr w:rsidR="00F12FB4" w:rsidRPr="00F12FB4" w:rsidTr="00E03A92">
        <w:trPr>
          <w:trHeight w:val="387"/>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12FB4" w:rsidRPr="00F12FB4" w:rsidRDefault="00F12FB4" w:rsidP="00E03A92">
            <w:pPr>
              <w:rPr>
                <w:color w:val="000000" w:themeColor="text1"/>
                <w:sz w:val="22"/>
                <w:szCs w:val="22"/>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rsidR="00F12FB4" w:rsidRPr="00F12FB4" w:rsidRDefault="00F12FB4" w:rsidP="00E03A92">
            <w:pPr>
              <w:rPr>
                <w:color w:val="000000" w:themeColor="text1"/>
                <w:sz w:val="22"/>
                <w:szCs w:val="22"/>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2019 год</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Доля расходов в общем объеме расходов 2019 года</w:t>
            </w:r>
          </w:p>
        </w:tc>
        <w:tc>
          <w:tcPr>
            <w:tcW w:w="3092" w:type="dxa"/>
            <w:gridSpan w:val="2"/>
            <w:tcBorders>
              <w:top w:val="single" w:sz="4" w:space="0" w:color="auto"/>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Плановый период</w:t>
            </w:r>
          </w:p>
        </w:tc>
      </w:tr>
      <w:tr w:rsidR="00F12FB4" w:rsidRPr="00F12FB4" w:rsidTr="00E03A92">
        <w:trPr>
          <w:trHeight w:val="186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12FB4" w:rsidRPr="00F12FB4" w:rsidRDefault="00F12FB4" w:rsidP="00E03A92">
            <w:pPr>
              <w:rPr>
                <w:color w:val="000000" w:themeColor="text1"/>
                <w:sz w:val="22"/>
                <w:szCs w:val="22"/>
              </w:rPr>
            </w:pPr>
          </w:p>
        </w:tc>
        <w:tc>
          <w:tcPr>
            <w:tcW w:w="3568" w:type="dxa"/>
            <w:vMerge/>
            <w:tcBorders>
              <w:top w:val="single" w:sz="4" w:space="0" w:color="auto"/>
              <w:left w:val="single" w:sz="4" w:space="0" w:color="auto"/>
              <w:bottom w:val="single" w:sz="4" w:space="0" w:color="auto"/>
              <w:right w:val="single" w:sz="4" w:space="0" w:color="auto"/>
            </w:tcBorders>
            <w:vAlign w:val="center"/>
            <w:hideMark/>
          </w:tcPr>
          <w:p w:rsidR="00F12FB4" w:rsidRPr="00F12FB4" w:rsidRDefault="00F12FB4" w:rsidP="00E03A92">
            <w:pPr>
              <w:rPr>
                <w:color w:val="000000" w:themeColor="text1"/>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F12FB4" w:rsidRPr="00F12FB4" w:rsidRDefault="00F12FB4" w:rsidP="00E03A92">
            <w:pPr>
              <w:rPr>
                <w:color w:val="000000" w:themeColor="text1"/>
                <w:sz w:val="22"/>
                <w:szCs w:val="22"/>
              </w:rPr>
            </w:pPr>
          </w:p>
        </w:tc>
        <w:tc>
          <w:tcPr>
            <w:tcW w:w="1360" w:type="dxa"/>
            <w:vMerge/>
            <w:tcBorders>
              <w:top w:val="nil"/>
              <w:left w:val="single" w:sz="4" w:space="0" w:color="auto"/>
              <w:bottom w:val="single" w:sz="4" w:space="0" w:color="auto"/>
              <w:right w:val="single" w:sz="4" w:space="0" w:color="auto"/>
            </w:tcBorders>
            <w:vAlign w:val="center"/>
            <w:hideMark/>
          </w:tcPr>
          <w:p w:rsidR="00F12FB4" w:rsidRPr="00F12FB4" w:rsidRDefault="00F12FB4" w:rsidP="00E03A92">
            <w:pPr>
              <w:rPr>
                <w:color w:val="000000" w:themeColor="text1"/>
                <w:sz w:val="22"/>
                <w:szCs w:val="22"/>
              </w:rPr>
            </w:pP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2020 год</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2021 год</w:t>
            </w:r>
          </w:p>
        </w:tc>
      </w:tr>
      <w:tr w:rsidR="00F12FB4" w:rsidRPr="00F12FB4" w:rsidTr="00E03A92">
        <w:trPr>
          <w:trHeight w:val="28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4</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5</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6</w:t>
            </w:r>
          </w:p>
        </w:tc>
      </w:tr>
      <w:tr w:rsidR="00F12FB4" w:rsidRPr="00F12FB4" w:rsidTr="00E03A92">
        <w:trPr>
          <w:trHeight w:val="28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1</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b/>
                <w:bCs/>
                <w:color w:val="000000" w:themeColor="text1"/>
                <w:sz w:val="22"/>
                <w:szCs w:val="22"/>
              </w:rPr>
            </w:pPr>
            <w:r w:rsidRPr="00F12FB4">
              <w:rPr>
                <w:b/>
                <w:bCs/>
                <w:color w:val="000000" w:themeColor="text1"/>
                <w:sz w:val="22"/>
                <w:szCs w:val="22"/>
              </w:rPr>
              <w:t>ВСЕГО</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62 347 189,6</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100,0%</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57 473 168,9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56 835 338,1</w:t>
            </w:r>
          </w:p>
        </w:tc>
      </w:tr>
      <w:tr w:rsidR="00F12FB4" w:rsidRPr="00F12FB4" w:rsidTr="00E03A92">
        <w:trPr>
          <w:trHeight w:val="28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2</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b/>
                <w:bCs/>
                <w:color w:val="000000" w:themeColor="text1"/>
                <w:sz w:val="22"/>
                <w:szCs w:val="22"/>
              </w:rPr>
            </w:pPr>
            <w:r w:rsidRPr="00F12FB4">
              <w:rPr>
                <w:b/>
                <w:bCs/>
                <w:color w:val="000000" w:themeColor="text1"/>
                <w:sz w:val="22"/>
                <w:szCs w:val="22"/>
              </w:rPr>
              <w:t>Программная часть</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60 016 797,9</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96,3%</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56 352 366,0</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55 715 767,1</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3</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"Жилищно-коммунальное хозяйство и энергетика Тверской области" на 2016 - 2021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1 712 905,8</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2,9%</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886 778,2</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486 454,4</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4</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"Развитие транспортного комплекса и дорожного хозяйства Тверской области" на 2016 - 2021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7 685 311,9</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12,8%</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7 336 879,0</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7 927 992,7</w:t>
            </w:r>
          </w:p>
        </w:tc>
      </w:tr>
      <w:tr w:rsidR="00F12FB4" w:rsidRPr="00F12FB4" w:rsidTr="00E03A92">
        <w:trPr>
          <w:trHeight w:val="63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lastRenderedPageBreak/>
              <w:t>5</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"Культура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1 865 223,5</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3,1%</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1 534 470,7</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1 534 320,7</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6</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"Физическая культура и спорт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862 235,2</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1,4%</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899 298,6</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679 068,3</w:t>
            </w:r>
          </w:p>
        </w:tc>
      </w:tr>
      <w:tr w:rsidR="00F12FB4" w:rsidRPr="00F12FB4" w:rsidTr="00E03A92">
        <w:trPr>
          <w:trHeight w:val="63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7</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"Молодежь Верхневолжья"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136 043,9</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0,2%</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57 596,5</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57 596,5</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8</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"Социальная поддержка и защита населения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9 900 934,1</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16,5%</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9 251 263,9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9 376 596,7</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9</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"Содействие занятости населения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419 228,2</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0,7%</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425 987,0</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426 215,6</w:t>
            </w:r>
          </w:p>
        </w:tc>
      </w:tr>
      <w:tr w:rsidR="00F12FB4" w:rsidRPr="00F12FB4" w:rsidTr="00E03A92">
        <w:trPr>
          <w:trHeight w:val="127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10</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"Управление имуществом и земельными ресурсами Тверской области, совершенствование системы государственных закупок региона"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183 796,4</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0,3%</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162 467,9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158 663,7</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11</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"Государственное регулирование цен (тарифов) в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53 861,9</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0,1%</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53 861,9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53 861,9</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12</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"Обеспечение государственного надзора и контроля в Тверской области" на 2017-2022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206 434,6</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0,3%</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200 714,1</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200 714,1</w:t>
            </w:r>
          </w:p>
        </w:tc>
      </w:tr>
      <w:tr w:rsidR="00F12FB4" w:rsidRPr="00F12FB4" w:rsidTr="00E03A92">
        <w:trPr>
          <w:trHeight w:val="127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13</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"Обеспечение эпизоотического и ветеринарно-санитарного благополучия на территории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364 183,9</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0,6%</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364 183,9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364 183,9</w:t>
            </w:r>
          </w:p>
        </w:tc>
      </w:tr>
      <w:tr w:rsidR="00F12FB4" w:rsidRPr="00F12FB4" w:rsidTr="00E03A92">
        <w:trPr>
          <w:trHeight w:val="127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14</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"Обеспечение взаимодействия с органами местного самоуправления муниципальных образований Тверской области" на 2017-2022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51 551,1</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0,1%</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51 551,1</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51 551,1</w:t>
            </w:r>
          </w:p>
        </w:tc>
      </w:tr>
      <w:tr w:rsidR="00F12FB4" w:rsidRPr="00F12FB4" w:rsidTr="00E03A92">
        <w:trPr>
          <w:trHeight w:val="127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15</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"Управление природными ресурсами и охрана окружающей среды Тверской области" на 2017-2022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144 689,2</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0,2%</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312 583,4</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286 883,4</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16</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 xml:space="preserve">Государственная программа Тверской области "Обеспечение правопорядка и безопасности </w:t>
            </w:r>
            <w:r w:rsidRPr="00F12FB4">
              <w:rPr>
                <w:color w:val="000000" w:themeColor="text1"/>
                <w:sz w:val="22"/>
                <w:szCs w:val="22"/>
              </w:rPr>
              <w:lastRenderedPageBreak/>
              <w:t>населения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lastRenderedPageBreak/>
              <w:t>1 096 294,2</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1,8%</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1 083 128,3</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1 081 897,4</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17</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"Лесное хозяйство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423 896,0</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0,7%</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423 465,2</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428 735,8</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18</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"Сельское хозяйство Тверской области"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1 913 650,1</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3,2%</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1 524 127,5</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1 375 419,7</w:t>
            </w:r>
          </w:p>
        </w:tc>
      </w:tr>
      <w:tr w:rsidR="00F12FB4" w:rsidRPr="00F12FB4" w:rsidTr="00E03A92">
        <w:trPr>
          <w:trHeight w:val="127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19</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"Управление общественными финансами и совершенствование региональной налоговой политики" на 2017 - 2022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3 351 104,0</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5,6%</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3 096 209,8</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3 049 293,1</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20</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"Экономическое развитие и инновационная экономика Тверской области" на 2018-2023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778 570,8</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1,3%</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615 065,8</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587 916,4</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21</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"Государственное управление и гражданское общество Тверской области" на 2018 - 2023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1 220 992,1</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2,0%</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921 525,2</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921 525,2</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22</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"Развитие промышленного производства и торговли в  Тверской области" на 2018 - 2023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133 196,8</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0,2%</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133 196,8</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133 196,8</w:t>
            </w:r>
          </w:p>
        </w:tc>
      </w:tr>
      <w:tr w:rsidR="00F12FB4" w:rsidRPr="00F12FB4" w:rsidTr="00E03A92">
        <w:trPr>
          <w:trHeight w:val="1279"/>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23</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"Сохранение, популяризация и государственная охрана культурного наследия Тверской области" на 2018 – 2023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237 196,8</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0,4%</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364 068,8</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269 671,3</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24</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"Развитие туристской индустрии в Тверской области" на 2018-2023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506 212,2</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0,8%</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464 656,3</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701 289,9</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25</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«Развитие образования Тверской области» на 2019 - 2024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14 045 460,5</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23,4%</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13 245 197,6</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12 510 875,6</w:t>
            </w:r>
          </w:p>
        </w:tc>
      </w:tr>
      <w:tr w:rsidR="00F12FB4" w:rsidRPr="00F12FB4" w:rsidTr="00E03A92">
        <w:trPr>
          <w:trHeight w:val="160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26</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 на 2019 - 2024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242 821,9</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0,4%</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252 393,1</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206 195,7</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lastRenderedPageBreak/>
              <w:t>27</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"Здравоохранение Тверской области" на 2019-2024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12 429 377,8</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20,7%</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12 613 702,5</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12 797 257,0</w:t>
            </w:r>
          </w:p>
        </w:tc>
      </w:tr>
      <w:tr w:rsidR="00F12FB4" w:rsidRPr="00F12FB4" w:rsidTr="00E03A92">
        <w:trPr>
          <w:trHeight w:val="95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28</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color w:val="000000" w:themeColor="text1"/>
                <w:sz w:val="22"/>
                <w:szCs w:val="22"/>
              </w:rPr>
            </w:pPr>
            <w:r w:rsidRPr="00F12FB4">
              <w:rPr>
                <w:color w:val="000000" w:themeColor="text1"/>
                <w:sz w:val="22"/>
                <w:szCs w:val="22"/>
              </w:rPr>
              <w:t>Государственная программа Тверской области "Территориальное планирование, градостроительство и архитектура в Тверской области" на 2019 - 2024 годы</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51 625,0</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0,1%</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77 992,9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color w:val="000000" w:themeColor="text1"/>
                <w:sz w:val="22"/>
                <w:szCs w:val="22"/>
              </w:rPr>
            </w:pPr>
            <w:r w:rsidRPr="00F12FB4">
              <w:rPr>
                <w:color w:val="000000" w:themeColor="text1"/>
                <w:sz w:val="22"/>
                <w:szCs w:val="22"/>
              </w:rPr>
              <w:t>48 390,2</w:t>
            </w:r>
          </w:p>
        </w:tc>
      </w:tr>
      <w:tr w:rsidR="00F12FB4" w:rsidRPr="00F12FB4" w:rsidTr="00E03A92">
        <w:trPr>
          <w:trHeight w:val="634"/>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12FB4" w:rsidRPr="00F12FB4" w:rsidRDefault="00F12FB4" w:rsidP="00E03A92">
            <w:pPr>
              <w:jc w:val="center"/>
              <w:rPr>
                <w:color w:val="000000" w:themeColor="text1"/>
                <w:sz w:val="22"/>
                <w:szCs w:val="22"/>
              </w:rPr>
            </w:pPr>
            <w:r w:rsidRPr="00F12FB4">
              <w:rPr>
                <w:color w:val="000000" w:themeColor="text1"/>
                <w:sz w:val="22"/>
                <w:szCs w:val="22"/>
              </w:rPr>
              <w:t>29</w:t>
            </w:r>
          </w:p>
        </w:tc>
        <w:tc>
          <w:tcPr>
            <w:tcW w:w="3568"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rPr>
                <w:b/>
                <w:bCs/>
                <w:color w:val="000000" w:themeColor="text1"/>
                <w:sz w:val="22"/>
                <w:szCs w:val="22"/>
              </w:rPr>
            </w:pPr>
            <w:r w:rsidRPr="00F12FB4">
              <w:rPr>
                <w:b/>
                <w:bCs/>
                <w:color w:val="000000" w:themeColor="text1"/>
                <w:sz w:val="22"/>
                <w:szCs w:val="22"/>
              </w:rPr>
              <w:t>Расходы, не включенные в государственные программы Тверской области</w:t>
            </w:r>
          </w:p>
        </w:tc>
        <w:tc>
          <w:tcPr>
            <w:tcW w:w="1701"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2 330 391,7</w:t>
            </w:r>
          </w:p>
        </w:tc>
        <w:tc>
          <w:tcPr>
            <w:tcW w:w="13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3,7%</w:t>
            </w:r>
          </w:p>
        </w:tc>
        <w:tc>
          <w:tcPr>
            <w:tcW w:w="1532"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1 120 802,9</w:t>
            </w:r>
          </w:p>
        </w:tc>
        <w:tc>
          <w:tcPr>
            <w:tcW w:w="1560" w:type="dxa"/>
            <w:tcBorders>
              <w:top w:val="nil"/>
              <w:left w:val="nil"/>
              <w:bottom w:val="single" w:sz="4" w:space="0" w:color="auto"/>
              <w:right w:val="single" w:sz="4" w:space="0" w:color="auto"/>
            </w:tcBorders>
            <w:shd w:val="clear" w:color="auto" w:fill="auto"/>
            <w:vAlign w:val="center"/>
            <w:hideMark/>
          </w:tcPr>
          <w:p w:rsidR="00F12FB4" w:rsidRPr="00F12FB4" w:rsidRDefault="00F12FB4" w:rsidP="00E03A92">
            <w:pPr>
              <w:jc w:val="right"/>
              <w:rPr>
                <w:b/>
                <w:bCs/>
                <w:color w:val="000000" w:themeColor="text1"/>
                <w:sz w:val="22"/>
                <w:szCs w:val="22"/>
              </w:rPr>
            </w:pPr>
            <w:r w:rsidRPr="00F12FB4">
              <w:rPr>
                <w:b/>
                <w:bCs/>
                <w:color w:val="000000" w:themeColor="text1"/>
                <w:sz w:val="22"/>
                <w:szCs w:val="22"/>
              </w:rPr>
              <w:t>1 119 571,0</w:t>
            </w:r>
          </w:p>
        </w:tc>
      </w:tr>
    </w:tbl>
    <w:p w:rsidR="00663393" w:rsidRPr="001A18AA" w:rsidRDefault="00663393" w:rsidP="00587AC0">
      <w:pPr>
        <w:pStyle w:val="a3"/>
        <w:ind w:firstLine="709"/>
        <w:jc w:val="both"/>
        <w:rPr>
          <w:rFonts w:ascii="Times New Roman" w:hAnsi="Times New Roman" w:cs="Times New Roman"/>
          <w:sz w:val="28"/>
          <w:szCs w:val="28"/>
        </w:rPr>
      </w:pPr>
    </w:p>
    <w:p w:rsidR="001A18AA" w:rsidRDefault="001A18AA" w:rsidP="00685779">
      <w:pPr>
        <w:tabs>
          <w:tab w:val="num" w:pos="993"/>
        </w:tabs>
        <w:ind w:firstLine="709"/>
        <w:jc w:val="both"/>
        <w:rPr>
          <w:szCs w:val="28"/>
        </w:rPr>
      </w:pPr>
      <w:r>
        <w:rPr>
          <w:szCs w:val="28"/>
        </w:rPr>
        <w:t xml:space="preserve">Кроме того, в рамках государственных программ Тверской области предусмотрены бюджетные ассигнования на </w:t>
      </w:r>
      <w:r w:rsidR="007F7D3D">
        <w:rPr>
          <w:szCs w:val="28"/>
        </w:rPr>
        <w:t xml:space="preserve">достижение целей и реализацию показателей </w:t>
      </w:r>
      <w:r>
        <w:rPr>
          <w:szCs w:val="28"/>
        </w:rPr>
        <w:t>национальны</w:t>
      </w:r>
      <w:r w:rsidR="00FD6914">
        <w:rPr>
          <w:szCs w:val="28"/>
        </w:rPr>
        <w:t>х</w:t>
      </w:r>
      <w:r>
        <w:rPr>
          <w:szCs w:val="28"/>
        </w:rPr>
        <w:t xml:space="preserve"> проект</w:t>
      </w:r>
      <w:r w:rsidR="00FD6914">
        <w:rPr>
          <w:szCs w:val="28"/>
        </w:rPr>
        <w:t>ов,</w:t>
      </w:r>
      <w:r>
        <w:rPr>
          <w:szCs w:val="28"/>
        </w:rPr>
        <w:t xml:space="preserve"> разработанных </w:t>
      </w:r>
      <w:r w:rsidRPr="001A18AA">
        <w:rPr>
          <w:szCs w:val="28"/>
        </w:rPr>
        <w:t xml:space="preserve">в целях реализации положений </w:t>
      </w:r>
      <w:r w:rsidR="008C05DD" w:rsidRPr="008C05DD">
        <w:rPr>
          <w:szCs w:val="28"/>
        </w:rPr>
        <w:t>Указ</w:t>
      </w:r>
      <w:r w:rsidR="008C05DD">
        <w:rPr>
          <w:szCs w:val="28"/>
        </w:rPr>
        <w:t>а</w:t>
      </w:r>
      <w:r w:rsidR="008C05DD" w:rsidRPr="008C05DD">
        <w:rPr>
          <w:szCs w:val="28"/>
        </w:rPr>
        <w:t xml:space="preserve"> Президента Российской Федерации от 7 мая 2018 года № 204</w:t>
      </w:r>
      <w:r w:rsidR="004810B7">
        <w:rPr>
          <w:szCs w:val="28"/>
        </w:rPr>
        <w:t>.</w:t>
      </w:r>
      <w:r w:rsidR="008C05DD">
        <w:rPr>
          <w:szCs w:val="28"/>
        </w:rPr>
        <w:t xml:space="preserve"> </w:t>
      </w:r>
      <w:r w:rsidR="006B18D3" w:rsidRPr="00D1550D">
        <w:rPr>
          <w:szCs w:val="28"/>
        </w:rPr>
        <w:t xml:space="preserve">Тверская область участвует в реализации национальных проектов по </w:t>
      </w:r>
      <w:r w:rsidR="008C05DD" w:rsidRPr="00D1550D">
        <w:rPr>
          <w:szCs w:val="28"/>
        </w:rPr>
        <w:t>6</w:t>
      </w:r>
      <w:r w:rsidR="006B18D3" w:rsidRPr="00D1550D">
        <w:rPr>
          <w:szCs w:val="28"/>
        </w:rPr>
        <w:t xml:space="preserve"> направлениям, в том числе:</w:t>
      </w:r>
    </w:p>
    <w:p w:rsidR="00D1550D" w:rsidRDefault="00D1550D" w:rsidP="001326EC">
      <w:pPr>
        <w:ind w:firstLine="709"/>
        <w:jc w:val="both"/>
        <w:rPr>
          <w:rFonts w:eastAsia="Calibri"/>
          <w:b/>
          <w:szCs w:val="28"/>
          <w:lang w:eastAsia="en-US"/>
        </w:rPr>
      </w:pPr>
    </w:p>
    <w:p w:rsidR="001326EC" w:rsidRPr="006B18D3" w:rsidRDefault="001326EC" w:rsidP="001326EC">
      <w:pPr>
        <w:ind w:firstLine="709"/>
        <w:jc w:val="both"/>
        <w:rPr>
          <w:rFonts w:eastAsia="Calibri"/>
          <w:b/>
          <w:szCs w:val="28"/>
          <w:lang w:eastAsia="en-US"/>
        </w:rPr>
      </w:pPr>
      <w:r w:rsidRPr="006B18D3">
        <w:rPr>
          <w:rFonts w:eastAsia="Calibri"/>
          <w:b/>
          <w:szCs w:val="28"/>
          <w:lang w:eastAsia="en-US"/>
        </w:rPr>
        <w:t>Национальный проект «Экология».</w:t>
      </w:r>
    </w:p>
    <w:p w:rsidR="001326EC" w:rsidRPr="006B18D3" w:rsidRDefault="001326EC" w:rsidP="001326EC">
      <w:pPr>
        <w:ind w:firstLine="709"/>
        <w:jc w:val="both"/>
        <w:rPr>
          <w:rFonts w:eastAsia="Calibri"/>
          <w:szCs w:val="28"/>
          <w:lang w:eastAsia="en-US"/>
        </w:rPr>
      </w:pPr>
      <w:r w:rsidRPr="006B18D3">
        <w:rPr>
          <w:rFonts w:eastAsia="Calibri"/>
          <w:szCs w:val="28"/>
          <w:lang w:eastAsia="en-US"/>
        </w:rPr>
        <w:t>В национальный проект «Экология» входит 10 федеральных проектов, из них Тверская область участвует в реализации 4 федеральных проектов: «Оздоровление Волги» (ответственный – Минис</w:t>
      </w:r>
      <w:r>
        <w:rPr>
          <w:rFonts w:eastAsia="Calibri"/>
          <w:szCs w:val="28"/>
          <w:lang w:eastAsia="en-US"/>
        </w:rPr>
        <w:t xml:space="preserve">терство строительства и жилищно </w:t>
      </w:r>
      <w:r w:rsidRPr="006B18D3">
        <w:rPr>
          <w:rFonts w:eastAsia="Calibri"/>
          <w:szCs w:val="28"/>
          <w:lang w:eastAsia="en-US"/>
        </w:rPr>
        <w:t>–</w:t>
      </w:r>
      <w:r>
        <w:rPr>
          <w:rFonts w:eastAsia="Calibri"/>
          <w:szCs w:val="28"/>
          <w:lang w:eastAsia="en-US"/>
        </w:rPr>
        <w:t xml:space="preserve"> </w:t>
      </w:r>
      <w:r w:rsidRPr="006B18D3">
        <w:rPr>
          <w:rFonts w:eastAsia="Calibri"/>
          <w:szCs w:val="28"/>
          <w:lang w:eastAsia="en-US"/>
        </w:rPr>
        <w:t>коммунального хозяйства Тверской области), «Сохранение уникальных водных объектов», «Чистая страна», «Строительство объектов по сортировке и переработке твердых коммунальных отходов» (ответственный – Министерство природных ресурсов и экологии Тверской области).</w:t>
      </w:r>
    </w:p>
    <w:p w:rsidR="001326EC" w:rsidRPr="006B18D3" w:rsidRDefault="001326EC" w:rsidP="001326EC">
      <w:pPr>
        <w:ind w:firstLine="709"/>
        <w:jc w:val="both"/>
        <w:rPr>
          <w:rFonts w:eastAsia="Calibri"/>
          <w:szCs w:val="28"/>
          <w:lang w:eastAsia="en-US"/>
        </w:rPr>
      </w:pPr>
      <w:r w:rsidRPr="006B18D3">
        <w:rPr>
          <w:rFonts w:eastAsia="Calibri"/>
          <w:szCs w:val="28"/>
          <w:lang w:eastAsia="en-US"/>
        </w:rPr>
        <w:t>Указом Президента Российско</w:t>
      </w:r>
      <w:r>
        <w:rPr>
          <w:rFonts w:eastAsia="Calibri"/>
          <w:szCs w:val="28"/>
          <w:lang w:eastAsia="en-US"/>
        </w:rPr>
        <w:t>й Федерации от 07.05.2018 № 204 «</w:t>
      </w:r>
      <w:r w:rsidRPr="006B18D3">
        <w:rPr>
          <w:rFonts w:eastAsia="Calibri"/>
          <w:szCs w:val="28"/>
          <w:lang w:eastAsia="en-US"/>
        </w:rPr>
        <w:t>О национальных целях и стратегических задачах развития Российской Федерации на период до 2024 года» постановляется при разработке национального проекта в сфере экологии исходить из того, что в 2024 году необходимо обеспечить достижение следующих целей и целевых показателей (по федеральным проектам, в которых участвует Тверская область):</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эффективное обращение с отходами производства и потребления, включая ликвидацию всех выявленных на 1 января 2018 г. несанкционированных свалок в границах городов;</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экологическое оздоровление водных объектов, включая реку Волгу, и сохранение уникальных водных систем.</w:t>
      </w:r>
    </w:p>
    <w:p w:rsidR="001326EC" w:rsidRPr="006B18D3" w:rsidRDefault="001326EC" w:rsidP="001326EC">
      <w:pPr>
        <w:ind w:firstLine="709"/>
        <w:jc w:val="both"/>
        <w:rPr>
          <w:rFonts w:eastAsia="Calibri"/>
          <w:szCs w:val="28"/>
          <w:lang w:eastAsia="en-US"/>
        </w:rPr>
      </w:pPr>
      <w:r w:rsidRPr="006B18D3">
        <w:rPr>
          <w:rFonts w:eastAsia="Calibri"/>
          <w:szCs w:val="28"/>
          <w:lang w:eastAsia="en-US"/>
        </w:rPr>
        <w:t>При этом, решаются следующие задачи, направленные на достижение цели национального проекта «Экология»:</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lastRenderedPageBreak/>
        <w:t>создание современной инфраструктуры, обеспечивающей безопасное обращение с отходами I и II классов опасности, и ликвидация наиболее опасных объектов накопленного экологического вреда;</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экологическая реабилитация водных объектов, в том числе реализация проекта, направленного на сокращение в три раза доли загрязненных сточных вод, отводимых в реку Волгу;</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сохранение уникальных водных объектов;</w:t>
      </w:r>
    </w:p>
    <w:p w:rsidR="001326EC" w:rsidRPr="006B18D3" w:rsidRDefault="001326EC" w:rsidP="001326EC">
      <w:pPr>
        <w:spacing w:after="160" w:line="259" w:lineRule="auto"/>
        <w:ind w:firstLine="709"/>
        <w:contextualSpacing/>
        <w:jc w:val="both"/>
        <w:rPr>
          <w:rFonts w:eastAsia="Calibri"/>
          <w:szCs w:val="28"/>
          <w:lang w:eastAsia="en-US"/>
        </w:rPr>
      </w:pPr>
      <w:r w:rsidRPr="006B18D3">
        <w:rPr>
          <w:rFonts w:eastAsia="Calibri"/>
          <w:szCs w:val="28"/>
          <w:lang w:eastAsia="en-US"/>
        </w:rPr>
        <w:t>сохранение биологического разнообразия, создание инфраструктуры для экологического туризма, а также сохранение лесов, в том числе на основе их воспроизводства на всех участках вырубленных и погибших лесных насаждений.</w:t>
      </w:r>
    </w:p>
    <w:p w:rsidR="001326EC" w:rsidRPr="006B18D3" w:rsidRDefault="001326EC" w:rsidP="001326EC">
      <w:pPr>
        <w:ind w:firstLine="708"/>
        <w:jc w:val="both"/>
        <w:rPr>
          <w:rFonts w:eastAsia="Calibri"/>
          <w:szCs w:val="28"/>
          <w:lang w:eastAsia="en-US"/>
        </w:rPr>
      </w:pPr>
      <w:r w:rsidRPr="006B18D3">
        <w:rPr>
          <w:rFonts w:eastAsia="Calibri"/>
          <w:szCs w:val="28"/>
          <w:lang w:eastAsia="en-US"/>
        </w:rPr>
        <w:t xml:space="preserve">В рамках выполнения целей и поставленных задач национального проекта «Экология» в Тверской области в 2019 – 2021 годах планируется ликвидация городских свалок и рекультивация земельных участков в г. Нелидово, г. Кимры, г. Бологое, г. Кувшиново, строительство полигона твердых коммунальных отходов в г.Кимры. </w:t>
      </w:r>
    </w:p>
    <w:p w:rsidR="001326EC" w:rsidRPr="006B18D3" w:rsidRDefault="001326EC" w:rsidP="001326EC">
      <w:pPr>
        <w:ind w:firstLine="708"/>
        <w:contextualSpacing/>
        <w:jc w:val="both"/>
        <w:rPr>
          <w:rFonts w:eastAsia="Calibri"/>
          <w:szCs w:val="28"/>
          <w:lang w:eastAsia="en-US"/>
        </w:rPr>
      </w:pPr>
      <w:r w:rsidRPr="006B18D3">
        <w:rPr>
          <w:rFonts w:eastAsia="Calibri"/>
          <w:szCs w:val="28"/>
          <w:lang w:eastAsia="en-US"/>
        </w:rPr>
        <w:t xml:space="preserve">Для участия в федеральном проекте «Оздоровление Волги» разработан региональный проект Тверской области «Сохранение и предотвращение загрязнения реки Волги». </w:t>
      </w:r>
    </w:p>
    <w:p w:rsidR="001326EC" w:rsidRPr="006B18D3" w:rsidRDefault="001326EC" w:rsidP="001326EC">
      <w:pPr>
        <w:ind w:firstLine="708"/>
        <w:jc w:val="both"/>
        <w:rPr>
          <w:rFonts w:eastAsia="Calibri"/>
          <w:szCs w:val="28"/>
          <w:lang w:eastAsia="en-US"/>
        </w:rPr>
      </w:pPr>
      <w:r w:rsidRPr="006B18D3">
        <w:rPr>
          <w:rFonts w:eastAsia="Calibri"/>
          <w:szCs w:val="28"/>
          <w:lang w:eastAsia="en-US"/>
        </w:rPr>
        <w:t>В региональный проект Тверской области включены 20 мероприятий по строительству или реконструкции очистных сооружений канализации ряда муниципальных образований Тверской области, реализация которых позволит сократить на 85% количество загрязненных сточных вод. Основные из них это объекты, расположенные в г. Тверь, Ржев, Старицкий район, Осташков, Торжок, Кимры.</w:t>
      </w:r>
    </w:p>
    <w:p w:rsidR="00837468" w:rsidRDefault="00837468" w:rsidP="006B18D3">
      <w:pPr>
        <w:ind w:firstLine="709"/>
        <w:jc w:val="both"/>
        <w:rPr>
          <w:rFonts w:eastAsia="Calibri"/>
          <w:b/>
          <w:szCs w:val="28"/>
          <w:lang w:eastAsia="en-US"/>
        </w:rPr>
      </w:pPr>
    </w:p>
    <w:p w:rsidR="006B18D3" w:rsidRPr="00E8046B" w:rsidRDefault="006B18D3" w:rsidP="006B18D3">
      <w:pPr>
        <w:ind w:firstLine="709"/>
        <w:jc w:val="both"/>
        <w:rPr>
          <w:rFonts w:eastAsia="Calibri"/>
          <w:b/>
          <w:szCs w:val="28"/>
          <w:lang w:eastAsia="en-US"/>
        </w:rPr>
      </w:pPr>
      <w:r w:rsidRPr="00E8046B">
        <w:rPr>
          <w:rFonts w:eastAsia="Calibri"/>
          <w:b/>
          <w:szCs w:val="28"/>
          <w:lang w:eastAsia="en-US"/>
        </w:rPr>
        <w:t>Национальный проект «Здравоохранение»</w:t>
      </w:r>
      <w:r w:rsidR="00DA502E" w:rsidRPr="00E8046B">
        <w:rPr>
          <w:rFonts w:eastAsia="Calibri"/>
          <w:b/>
          <w:szCs w:val="28"/>
          <w:lang w:eastAsia="en-US"/>
        </w:rPr>
        <w:t>.</w:t>
      </w:r>
    </w:p>
    <w:p w:rsidR="00E8046B" w:rsidRPr="00E8046B" w:rsidRDefault="00E8046B" w:rsidP="00E8046B">
      <w:pPr>
        <w:ind w:firstLine="708"/>
        <w:jc w:val="both"/>
        <w:rPr>
          <w:rFonts w:eastAsiaTheme="minorHAnsi"/>
          <w:szCs w:val="28"/>
          <w:lang w:eastAsia="en-US"/>
        </w:rPr>
      </w:pPr>
      <w:r>
        <w:rPr>
          <w:rFonts w:eastAsiaTheme="minorHAnsi"/>
          <w:szCs w:val="28"/>
          <w:lang w:eastAsia="en-US"/>
        </w:rPr>
        <w:t>В р</w:t>
      </w:r>
      <w:r w:rsidRPr="00E8046B">
        <w:rPr>
          <w:rFonts w:eastAsiaTheme="minorHAnsi"/>
          <w:szCs w:val="28"/>
          <w:lang w:eastAsia="en-US"/>
        </w:rPr>
        <w:t>амках реализации национального проект</w:t>
      </w:r>
      <w:r>
        <w:rPr>
          <w:rFonts w:eastAsiaTheme="minorHAnsi"/>
          <w:szCs w:val="28"/>
          <w:lang w:eastAsia="en-US"/>
        </w:rPr>
        <w:t xml:space="preserve">а </w:t>
      </w:r>
      <w:r w:rsidRPr="00E8046B">
        <w:rPr>
          <w:rFonts w:eastAsiaTheme="minorHAnsi"/>
          <w:szCs w:val="28"/>
          <w:lang w:eastAsia="en-US"/>
        </w:rPr>
        <w:t>«Здравоохранение»</w:t>
      </w:r>
      <w:r>
        <w:rPr>
          <w:rFonts w:eastAsiaTheme="minorHAnsi"/>
          <w:szCs w:val="28"/>
          <w:lang w:eastAsia="en-US"/>
        </w:rPr>
        <w:t xml:space="preserve"> в Тверской области до 2024 будут </w:t>
      </w:r>
      <w:r w:rsidRPr="00E8046B">
        <w:rPr>
          <w:rFonts w:eastAsiaTheme="minorHAnsi"/>
          <w:szCs w:val="28"/>
          <w:lang w:eastAsia="en-US"/>
        </w:rPr>
        <w:t>реализов</w:t>
      </w:r>
      <w:r>
        <w:rPr>
          <w:rFonts w:eastAsiaTheme="minorHAnsi"/>
          <w:szCs w:val="28"/>
          <w:lang w:eastAsia="en-US"/>
        </w:rPr>
        <w:t>аны</w:t>
      </w:r>
      <w:r w:rsidRPr="00E8046B">
        <w:rPr>
          <w:rFonts w:eastAsiaTheme="minorHAnsi"/>
          <w:szCs w:val="28"/>
          <w:lang w:eastAsia="en-US"/>
        </w:rPr>
        <w:t xml:space="preserve"> </w:t>
      </w:r>
      <w:r w:rsidR="002A6412">
        <w:rPr>
          <w:rFonts w:eastAsiaTheme="minorHAnsi"/>
          <w:szCs w:val="28"/>
          <w:lang w:eastAsia="en-US"/>
        </w:rPr>
        <w:t xml:space="preserve">региональные проекты по </w:t>
      </w:r>
      <w:r w:rsidRPr="00E8046B">
        <w:rPr>
          <w:rFonts w:eastAsiaTheme="minorHAnsi"/>
          <w:szCs w:val="28"/>
          <w:lang w:eastAsia="en-US"/>
        </w:rPr>
        <w:t>следующи</w:t>
      </w:r>
      <w:r w:rsidR="002A6412">
        <w:rPr>
          <w:rFonts w:eastAsiaTheme="minorHAnsi"/>
          <w:szCs w:val="28"/>
          <w:lang w:eastAsia="en-US"/>
        </w:rPr>
        <w:t>м</w:t>
      </w:r>
      <w:r w:rsidRPr="00E8046B">
        <w:rPr>
          <w:rFonts w:eastAsiaTheme="minorHAnsi"/>
          <w:szCs w:val="28"/>
          <w:lang w:eastAsia="en-US"/>
        </w:rPr>
        <w:t xml:space="preserve"> </w:t>
      </w:r>
      <w:r>
        <w:rPr>
          <w:rFonts w:eastAsiaTheme="minorHAnsi"/>
          <w:szCs w:val="28"/>
          <w:lang w:eastAsia="en-US"/>
        </w:rPr>
        <w:t>направления</w:t>
      </w:r>
      <w:r w:rsidR="002A6412">
        <w:rPr>
          <w:rFonts w:eastAsiaTheme="minorHAnsi"/>
          <w:szCs w:val="28"/>
          <w:lang w:eastAsia="en-US"/>
        </w:rPr>
        <w:t>м:</w:t>
      </w:r>
    </w:p>
    <w:p w:rsidR="00E8046B" w:rsidRPr="002A6412" w:rsidRDefault="00D1550D" w:rsidP="002A6412">
      <w:pPr>
        <w:ind w:firstLine="709"/>
        <w:jc w:val="both"/>
        <w:rPr>
          <w:rFonts w:eastAsiaTheme="minorHAnsi"/>
          <w:szCs w:val="28"/>
          <w:lang w:eastAsia="en-US"/>
        </w:rPr>
      </w:pPr>
      <w:r>
        <w:rPr>
          <w:rFonts w:eastAsiaTheme="minorHAnsi"/>
          <w:szCs w:val="28"/>
          <w:lang w:eastAsia="en-US"/>
        </w:rPr>
        <w:t>а)</w:t>
      </w:r>
      <w:r w:rsidR="00E8046B" w:rsidRPr="00E8046B">
        <w:rPr>
          <w:rFonts w:eastAsiaTheme="minorHAnsi"/>
          <w:szCs w:val="28"/>
          <w:lang w:eastAsia="en-US"/>
        </w:rPr>
        <w:t xml:space="preserve"> </w:t>
      </w:r>
      <w:r w:rsidR="00E8046B" w:rsidRPr="00D1550D">
        <w:rPr>
          <w:rFonts w:eastAsiaTheme="minorHAnsi"/>
          <w:szCs w:val="28"/>
          <w:lang w:eastAsia="en-US"/>
        </w:rPr>
        <w:t>Развитие первичной медико-санитарной помощи</w:t>
      </w:r>
      <w:r w:rsidR="002A6412" w:rsidRPr="00D1550D">
        <w:rPr>
          <w:rFonts w:eastAsiaTheme="minorHAnsi"/>
          <w:szCs w:val="28"/>
          <w:lang w:eastAsia="en-US"/>
        </w:rPr>
        <w:t>.</w:t>
      </w:r>
      <w:r w:rsidR="00E8046B" w:rsidRPr="00D1550D">
        <w:rPr>
          <w:rFonts w:eastAsiaTheme="minorHAnsi"/>
          <w:szCs w:val="28"/>
          <w:lang w:eastAsia="en-US"/>
        </w:rPr>
        <w:t xml:space="preserve"> </w:t>
      </w:r>
      <w:r w:rsidR="002A6412" w:rsidRPr="002A6412">
        <w:rPr>
          <w:rFonts w:eastAsiaTheme="minorHAnsi"/>
          <w:szCs w:val="28"/>
          <w:lang w:eastAsia="en-US"/>
        </w:rPr>
        <w:t xml:space="preserve">Основной </w:t>
      </w:r>
      <w:r w:rsidR="00E8046B" w:rsidRPr="002A6412">
        <w:rPr>
          <w:rFonts w:eastAsiaTheme="minorHAnsi"/>
          <w:szCs w:val="28"/>
          <w:lang w:eastAsia="en-US"/>
        </w:rPr>
        <w:t>цел</w:t>
      </w:r>
      <w:r w:rsidR="002A6412" w:rsidRPr="002A6412">
        <w:rPr>
          <w:rFonts w:eastAsiaTheme="minorHAnsi"/>
          <w:szCs w:val="28"/>
          <w:lang w:eastAsia="en-US"/>
        </w:rPr>
        <w:t>ью и задачей проекта</w:t>
      </w:r>
      <w:r w:rsidR="00C96032" w:rsidRPr="00C96032">
        <w:t xml:space="preserve"> </w:t>
      </w:r>
      <w:r w:rsidR="00C96032" w:rsidRPr="00C96032">
        <w:rPr>
          <w:rFonts w:eastAsiaTheme="minorHAnsi"/>
          <w:szCs w:val="28"/>
          <w:lang w:eastAsia="en-US"/>
        </w:rPr>
        <w:t>к 2024 году</w:t>
      </w:r>
      <w:r w:rsidR="002A6412" w:rsidRPr="00C96032">
        <w:rPr>
          <w:rFonts w:eastAsiaTheme="minorHAnsi"/>
          <w:szCs w:val="28"/>
          <w:lang w:eastAsia="en-US"/>
        </w:rPr>
        <w:t xml:space="preserve"> </w:t>
      </w:r>
      <w:r w:rsidR="002A6412" w:rsidRPr="002A6412">
        <w:rPr>
          <w:rFonts w:eastAsiaTheme="minorHAnsi"/>
          <w:szCs w:val="28"/>
          <w:lang w:eastAsia="en-US"/>
        </w:rPr>
        <w:t>будет являться:</w:t>
      </w:r>
    </w:p>
    <w:p w:rsidR="00E8046B" w:rsidRPr="00E8046B" w:rsidRDefault="002A6412" w:rsidP="002A6412">
      <w:pPr>
        <w:ind w:firstLine="709"/>
        <w:jc w:val="both"/>
        <w:rPr>
          <w:rFonts w:eastAsiaTheme="minorHAnsi"/>
          <w:szCs w:val="28"/>
          <w:lang w:eastAsia="en-US"/>
        </w:rPr>
      </w:pPr>
      <w:r>
        <w:rPr>
          <w:rFonts w:eastAsiaTheme="minorHAnsi"/>
          <w:szCs w:val="28"/>
          <w:lang w:eastAsia="en-US"/>
        </w:rPr>
        <w:t xml:space="preserve"> у</w:t>
      </w:r>
      <w:r w:rsidR="00E8046B" w:rsidRPr="00E8046B">
        <w:rPr>
          <w:rFonts w:eastAsiaTheme="minorHAnsi"/>
          <w:szCs w:val="28"/>
          <w:lang w:eastAsia="en-US"/>
        </w:rPr>
        <w:t>меньшение числа населенных пунктов с численностью населения свыше 100 человек, по данным геоинформационной системы Минздрава России, находящихся вне зоны доступности</w:t>
      </w:r>
      <w:r>
        <w:rPr>
          <w:rFonts w:eastAsiaTheme="minorHAnsi"/>
          <w:szCs w:val="28"/>
          <w:lang w:eastAsia="en-US"/>
        </w:rPr>
        <w:t xml:space="preserve"> </w:t>
      </w:r>
      <w:r w:rsidR="00E8046B" w:rsidRPr="00E8046B">
        <w:rPr>
          <w:rFonts w:eastAsiaTheme="minorHAnsi"/>
          <w:szCs w:val="28"/>
          <w:lang w:eastAsia="en-US"/>
        </w:rPr>
        <w:t>от медицинской организации или ее структурного подразделения, оказывающих первичную медико-санитарную помощь, единиц (к 2024 г</w:t>
      </w:r>
      <w:r>
        <w:rPr>
          <w:rFonts w:eastAsiaTheme="minorHAnsi"/>
          <w:szCs w:val="28"/>
          <w:lang w:eastAsia="en-US"/>
        </w:rPr>
        <w:t>оду</w:t>
      </w:r>
      <w:r w:rsidR="00E8046B" w:rsidRPr="00E8046B">
        <w:rPr>
          <w:rFonts w:eastAsiaTheme="minorHAnsi"/>
          <w:szCs w:val="28"/>
          <w:lang w:eastAsia="en-US"/>
        </w:rPr>
        <w:t xml:space="preserve"> – 0)</w:t>
      </w:r>
      <w:r>
        <w:rPr>
          <w:rFonts w:eastAsiaTheme="minorHAnsi"/>
          <w:szCs w:val="28"/>
          <w:lang w:eastAsia="en-US"/>
        </w:rPr>
        <w:t>;</w:t>
      </w:r>
    </w:p>
    <w:p w:rsidR="00E8046B" w:rsidRPr="00E8046B" w:rsidRDefault="002A6412" w:rsidP="002A6412">
      <w:pPr>
        <w:ind w:firstLine="709"/>
        <w:jc w:val="both"/>
        <w:rPr>
          <w:rFonts w:eastAsiaTheme="minorHAnsi"/>
          <w:color w:val="000000"/>
          <w:szCs w:val="28"/>
          <w:lang w:eastAsia="en-US"/>
        </w:rPr>
      </w:pPr>
      <w:r>
        <w:rPr>
          <w:rFonts w:eastAsiaTheme="minorHAnsi"/>
          <w:szCs w:val="28"/>
          <w:lang w:eastAsia="en-US"/>
        </w:rPr>
        <w:t xml:space="preserve"> увеличение до </w:t>
      </w:r>
      <w:r w:rsidR="00E8046B" w:rsidRPr="00E8046B">
        <w:rPr>
          <w:rFonts w:eastAsiaTheme="minorHAnsi"/>
          <w:szCs w:val="28"/>
          <w:lang w:eastAsia="en-US"/>
        </w:rPr>
        <w:t xml:space="preserve">90% </w:t>
      </w:r>
      <w:r w:rsidR="00E8046B" w:rsidRPr="00E8046B">
        <w:rPr>
          <w:rFonts w:eastAsiaTheme="minorHAnsi"/>
          <w:color w:val="000000"/>
          <w:szCs w:val="28"/>
          <w:lang w:eastAsia="en-US"/>
        </w:rPr>
        <w:t>охвата всех граждан профилакт</w:t>
      </w:r>
      <w:r>
        <w:rPr>
          <w:rFonts w:eastAsiaTheme="minorHAnsi"/>
          <w:color w:val="000000"/>
          <w:szCs w:val="28"/>
          <w:lang w:eastAsia="en-US"/>
        </w:rPr>
        <w:t>ическими медицинскими осмотрами;</w:t>
      </w:r>
    </w:p>
    <w:p w:rsidR="00E8046B" w:rsidRDefault="002A6412" w:rsidP="002A6412">
      <w:pPr>
        <w:ind w:firstLine="709"/>
        <w:jc w:val="both"/>
        <w:rPr>
          <w:rFonts w:eastAsia="Arial Unicode MS"/>
          <w:color w:val="000000"/>
          <w:szCs w:val="28"/>
          <w:u w:color="000000"/>
          <w:lang w:eastAsia="en-US"/>
        </w:rPr>
      </w:pPr>
      <w:r>
        <w:rPr>
          <w:rFonts w:eastAsia="Arial Unicode MS"/>
          <w:color w:val="000000"/>
          <w:szCs w:val="28"/>
          <w:u w:color="000000"/>
          <w:lang w:eastAsia="en-US"/>
        </w:rPr>
        <w:t xml:space="preserve"> увеличение </w:t>
      </w:r>
      <w:r w:rsidR="00E8046B" w:rsidRPr="00E8046B">
        <w:rPr>
          <w:rFonts w:eastAsia="Arial Unicode MS"/>
          <w:color w:val="000000"/>
          <w:szCs w:val="28"/>
          <w:u w:color="000000"/>
          <w:lang w:eastAsia="en-US"/>
        </w:rPr>
        <w:t xml:space="preserve">до 54,5% доли медицинских организаций, участвующих в создании и тиражировании «Новой модели медицинской организации, </w:t>
      </w:r>
      <w:r w:rsidR="00E8046B" w:rsidRPr="00E8046B">
        <w:rPr>
          <w:rFonts w:eastAsia="Arial Unicode MS"/>
          <w:color w:val="000000"/>
          <w:szCs w:val="28"/>
          <w:u w:color="000000"/>
          <w:lang w:eastAsia="en-US"/>
        </w:rPr>
        <w:lastRenderedPageBreak/>
        <w:t>оказывающей первичную медико-санитарную помощь» от общего количества медицинских организаций</w:t>
      </w:r>
      <w:r>
        <w:rPr>
          <w:rFonts w:eastAsia="Arial Unicode MS"/>
          <w:color w:val="000000"/>
          <w:szCs w:val="28"/>
          <w:u w:color="000000"/>
          <w:lang w:eastAsia="en-US"/>
        </w:rPr>
        <w:t>, оказывающих данный вид помощи;</w:t>
      </w:r>
    </w:p>
    <w:p w:rsidR="00E8046B" w:rsidRPr="00E8046B" w:rsidRDefault="002A6412" w:rsidP="002A6412">
      <w:pPr>
        <w:ind w:firstLine="709"/>
        <w:jc w:val="both"/>
        <w:rPr>
          <w:rFonts w:eastAsia="Arial Unicode MS"/>
          <w:color w:val="000000"/>
          <w:szCs w:val="28"/>
          <w:u w:color="000000"/>
          <w:lang w:eastAsia="en-US"/>
        </w:rPr>
      </w:pPr>
      <w:r>
        <w:rPr>
          <w:rFonts w:eastAsia="Arial Unicode MS"/>
          <w:color w:val="000000"/>
          <w:szCs w:val="28"/>
          <w:u w:color="000000"/>
          <w:lang w:eastAsia="en-US"/>
        </w:rPr>
        <w:t xml:space="preserve"> у</w:t>
      </w:r>
      <w:r w:rsidR="00E8046B" w:rsidRPr="00E8046B">
        <w:rPr>
          <w:rFonts w:eastAsia="Arial Unicode MS"/>
          <w:color w:val="000000"/>
          <w:szCs w:val="28"/>
          <w:u w:color="000000"/>
          <w:lang w:eastAsia="en-US"/>
        </w:rPr>
        <w:t>величение до 90% доли лиц, госпитализированных по экстренным показаниям в течение первых суток.</w:t>
      </w:r>
    </w:p>
    <w:p w:rsidR="00E8046B" w:rsidRPr="002A6412" w:rsidRDefault="00E8046B" w:rsidP="002A6412">
      <w:pPr>
        <w:ind w:firstLine="709"/>
        <w:jc w:val="both"/>
        <w:rPr>
          <w:rFonts w:eastAsia="Arial Unicode MS"/>
          <w:color w:val="000000"/>
          <w:szCs w:val="28"/>
          <w:u w:color="000000"/>
          <w:lang w:eastAsia="en-US"/>
        </w:rPr>
      </w:pPr>
      <w:r w:rsidRPr="002A6412">
        <w:rPr>
          <w:rFonts w:eastAsia="Arial Unicode MS"/>
          <w:color w:val="000000"/>
          <w:szCs w:val="28"/>
          <w:u w:color="000000"/>
          <w:lang w:eastAsia="en-US"/>
        </w:rPr>
        <w:t>В рамках</w:t>
      </w:r>
      <w:r w:rsidR="002A6412">
        <w:rPr>
          <w:rFonts w:eastAsia="Arial Unicode MS"/>
          <w:color w:val="000000"/>
          <w:szCs w:val="28"/>
          <w:u w:color="000000"/>
          <w:lang w:eastAsia="en-US"/>
        </w:rPr>
        <w:t xml:space="preserve"> реализации</w:t>
      </w:r>
      <w:r w:rsidRPr="002A6412">
        <w:rPr>
          <w:rFonts w:eastAsia="Arial Unicode MS"/>
          <w:color w:val="000000"/>
          <w:szCs w:val="28"/>
          <w:u w:color="000000"/>
          <w:lang w:eastAsia="en-US"/>
        </w:rPr>
        <w:t xml:space="preserve"> данного проекта запланирована </w:t>
      </w:r>
      <w:r w:rsidRPr="00C96032">
        <w:rPr>
          <w:rFonts w:eastAsiaTheme="minorHAnsi"/>
          <w:szCs w:val="28"/>
          <w:lang w:eastAsia="en-US"/>
        </w:rPr>
        <w:t>закупка авиационных работ</w:t>
      </w:r>
      <w:r w:rsidRPr="002A6412">
        <w:rPr>
          <w:rFonts w:eastAsiaTheme="minorHAnsi"/>
          <w:szCs w:val="28"/>
          <w:lang w:eastAsia="en-US"/>
        </w:rPr>
        <w:t xml:space="preserve"> для оказания медицинской помощи</w:t>
      </w:r>
      <w:r w:rsidR="002A6412">
        <w:rPr>
          <w:rFonts w:eastAsiaTheme="minorHAnsi"/>
          <w:szCs w:val="28"/>
          <w:lang w:eastAsia="en-US"/>
        </w:rPr>
        <w:t>.</w:t>
      </w:r>
    </w:p>
    <w:p w:rsidR="00C96032" w:rsidRPr="00C96032" w:rsidRDefault="00D1550D" w:rsidP="00C96032">
      <w:pPr>
        <w:ind w:firstLine="709"/>
        <w:jc w:val="both"/>
        <w:rPr>
          <w:rFonts w:eastAsiaTheme="minorHAnsi"/>
          <w:szCs w:val="28"/>
          <w:lang w:eastAsia="en-US"/>
        </w:rPr>
      </w:pPr>
      <w:r w:rsidRPr="00D1550D">
        <w:rPr>
          <w:rFonts w:eastAsia="Arial Unicode MS"/>
          <w:color w:val="000000"/>
          <w:szCs w:val="28"/>
          <w:u w:color="000000"/>
          <w:lang w:eastAsia="en-US"/>
        </w:rPr>
        <w:t xml:space="preserve">б) </w:t>
      </w:r>
      <w:r w:rsidR="00E8046B" w:rsidRPr="00D1550D">
        <w:rPr>
          <w:rFonts w:eastAsia="Arial Unicode MS"/>
          <w:color w:val="000000"/>
          <w:szCs w:val="28"/>
          <w:u w:color="000000"/>
          <w:lang w:eastAsia="en-US"/>
        </w:rPr>
        <w:t>Развитие детского здравоохранения Тверской области, включая создание современной инфраструктуры оказания медицинской помощи</w:t>
      </w:r>
      <w:r w:rsidR="00C96032" w:rsidRPr="00D1550D">
        <w:rPr>
          <w:rFonts w:eastAsia="Arial Unicode MS"/>
          <w:color w:val="000000"/>
          <w:szCs w:val="28"/>
          <w:u w:color="000000"/>
          <w:lang w:eastAsia="en-US"/>
        </w:rPr>
        <w:t>.</w:t>
      </w:r>
      <w:r w:rsidR="00E8046B" w:rsidRPr="00E8046B">
        <w:rPr>
          <w:rFonts w:eastAsia="Arial Unicode MS"/>
          <w:b/>
          <w:color w:val="000000"/>
          <w:szCs w:val="28"/>
          <w:u w:color="000000"/>
          <w:lang w:eastAsia="en-US"/>
        </w:rPr>
        <w:t xml:space="preserve"> </w:t>
      </w:r>
      <w:r w:rsidR="00C96032" w:rsidRPr="00C96032">
        <w:rPr>
          <w:rFonts w:eastAsiaTheme="minorHAnsi"/>
          <w:szCs w:val="28"/>
          <w:lang w:eastAsia="en-US"/>
        </w:rPr>
        <w:t>Основной целью и задачей проекта</w:t>
      </w:r>
      <w:r w:rsidR="00C96032">
        <w:rPr>
          <w:rFonts w:eastAsiaTheme="minorHAnsi"/>
          <w:szCs w:val="28"/>
          <w:lang w:eastAsia="en-US"/>
        </w:rPr>
        <w:t xml:space="preserve"> к 2024 году</w:t>
      </w:r>
      <w:r w:rsidR="00C96032" w:rsidRPr="00C96032">
        <w:rPr>
          <w:rFonts w:eastAsiaTheme="minorHAnsi"/>
          <w:szCs w:val="28"/>
          <w:lang w:eastAsia="en-US"/>
        </w:rPr>
        <w:t xml:space="preserve"> будет являться:</w:t>
      </w:r>
    </w:p>
    <w:p w:rsidR="00E8046B" w:rsidRPr="00E8046B" w:rsidRDefault="003F773C" w:rsidP="00C96032">
      <w:pPr>
        <w:ind w:firstLine="709"/>
        <w:jc w:val="both"/>
        <w:rPr>
          <w:rFonts w:eastAsiaTheme="minorHAnsi"/>
          <w:szCs w:val="28"/>
          <w:lang w:eastAsia="en-US"/>
        </w:rPr>
      </w:pPr>
      <w:r>
        <w:rPr>
          <w:rFonts w:eastAsiaTheme="minorHAnsi"/>
          <w:szCs w:val="28"/>
          <w:lang w:eastAsia="en-US"/>
        </w:rPr>
        <w:t>с</w:t>
      </w:r>
      <w:r w:rsidR="00E8046B" w:rsidRPr="00E8046B">
        <w:rPr>
          <w:rFonts w:eastAsiaTheme="minorHAnsi"/>
          <w:szCs w:val="28"/>
          <w:lang w:eastAsia="en-US"/>
        </w:rPr>
        <w:t>нижение</w:t>
      </w:r>
      <w:r w:rsidR="00C96032">
        <w:rPr>
          <w:rFonts w:eastAsiaTheme="minorHAnsi"/>
          <w:szCs w:val="28"/>
          <w:lang w:eastAsia="en-US"/>
        </w:rPr>
        <w:t xml:space="preserve"> младенческой </w:t>
      </w:r>
      <w:r w:rsidR="00E8046B" w:rsidRPr="00E8046B">
        <w:rPr>
          <w:rFonts w:eastAsiaTheme="minorHAnsi"/>
          <w:szCs w:val="28"/>
          <w:lang w:eastAsia="en-US"/>
        </w:rPr>
        <w:t>смертности до 4,2 на 1 000 новорожденных, родившихся живыми</w:t>
      </w:r>
      <w:r w:rsidR="00C96032">
        <w:rPr>
          <w:rFonts w:eastAsiaTheme="minorHAnsi"/>
          <w:szCs w:val="28"/>
          <w:lang w:eastAsia="en-US"/>
        </w:rPr>
        <w:t>;</w:t>
      </w:r>
    </w:p>
    <w:p w:rsidR="00E8046B" w:rsidRPr="00E8046B" w:rsidRDefault="003F773C" w:rsidP="00C96032">
      <w:pPr>
        <w:ind w:firstLine="709"/>
        <w:jc w:val="both"/>
        <w:rPr>
          <w:rFonts w:eastAsiaTheme="minorHAnsi"/>
          <w:szCs w:val="28"/>
          <w:lang w:eastAsia="en-US"/>
        </w:rPr>
      </w:pPr>
      <w:r>
        <w:rPr>
          <w:rFonts w:eastAsiaTheme="minorHAnsi"/>
          <w:szCs w:val="28"/>
          <w:lang w:eastAsia="en-US"/>
        </w:rPr>
        <w:t>с</w:t>
      </w:r>
      <w:r w:rsidR="00E8046B" w:rsidRPr="00E8046B">
        <w:rPr>
          <w:rFonts w:eastAsiaTheme="minorHAnsi"/>
          <w:szCs w:val="28"/>
          <w:lang w:eastAsia="en-US"/>
        </w:rPr>
        <w:t>нижение смертности детей в возрасте 0-17 лет до 47,9 на 100 тыс. детей соответствующего возраста</w:t>
      </w:r>
      <w:r w:rsidR="00C96032">
        <w:rPr>
          <w:rFonts w:eastAsiaTheme="minorHAnsi"/>
          <w:szCs w:val="28"/>
          <w:lang w:eastAsia="en-US"/>
        </w:rPr>
        <w:t>;</w:t>
      </w:r>
    </w:p>
    <w:p w:rsidR="00E8046B" w:rsidRPr="00E8046B" w:rsidRDefault="003F773C" w:rsidP="00C96032">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доли посещений детьми медицинских организаций с профилактическими целями до 53,8%</w:t>
      </w:r>
      <w:r w:rsidR="00C96032">
        <w:rPr>
          <w:rFonts w:eastAsiaTheme="minorHAnsi"/>
          <w:szCs w:val="28"/>
          <w:lang w:eastAsia="en-US"/>
        </w:rPr>
        <w:t>;</w:t>
      </w:r>
    </w:p>
    <w:p w:rsidR="00E8046B" w:rsidRPr="00E8046B" w:rsidRDefault="003F773C" w:rsidP="00C96032">
      <w:pPr>
        <w:ind w:firstLine="709"/>
        <w:jc w:val="both"/>
        <w:rPr>
          <w:rFonts w:eastAsiaTheme="minorHAnsi"/>
          <w:szCs w:val="28"/>
          <w:lang w:eastAsia="en-US"/>
        </w:rPr>
      </w:pPr>
      <w:r>
        <w:rPr>
          <w:rFonts w:eastAsiaTheme="minorHAnsi"/>
          <w:szCs w:val="28"/>
          <w:lang w:eastAsia="en-US"/>
        </w:rPr>
        <w:t>с</w:t>
      </w:r>
      <w:r w:rsidR="00E8046B" w:rsidRPr="00E8046B">
        <w:rPr>
          <w:rFonts w:eastAsiaTheme="minorHAnsi"/>
          <w:szCs w:val="28"/>
          <w:lang w:eastAsia="en-US"/>
        </w:rPr>
        <w:t>нижение детской смертности (в возрасте 0 - 4 года) до 5,1 на 1 тыс. новорожденных, родившихся живыми</w:t>
      </w:r>
      <w:r>
        <w:rPr>
          <w:rFonts w:eastAsiaTheme="minorHAnsi"/>
          <w:szCs w:val="28"/>
          <w:lang w:eastAsia="en-US"/>
        </w:rPr>
        <w:t>.</w:t>
      </w:r>
    </w:p>
    <w:p w:rsidR="00E8046B" w:rsidRPr="003F773C" w:rsidRDefault="003F773C" w:rsidP="00C96032">
      <w:pPr>
        <w:ind w:firstLine="709"/>
        <w:jc w:val="both"/>
        <w:rPr>
          <w:rFonts w:eastAsiaTheme="minorHAnsi"/>
          <w:szCs w:val="28"/>
          <w:lang w:eastAsia="en-US"/>
        </w:rPr>
      </w:pPr>
      <w:r w:rsidRPr="003F773C">
        <w:rPr>
          <w:rFonts w:eastAsiaTheme="minorHAnsi"/>
          <w:szCs w:val="28"/>
          <w:lang w:eastAsia="en-US"/>
        </w:rPr>
        <w:t xml:space="preserve">В рамках реализации данного проекта </w:t>
      </w:r>
      <w:r>
        <w:rPr>
          <w:rFonts w:eastAsiaTheme="minorHAnsi"/>
          <w:szCs w:val="28"/>
          <w:lang w:eastAsia="en-US"/>
        </w:rPr>
        <w:t>з</w:t>
      </w:r>
      <w:r w:rsidR="00E8046B" w:rsidRPr="003F773C">
        <w:rPr>
          <w:rFonts w:eastAsiaTheme="minorHAnsi"/>
          <w:szCs w:val="28"/>
          <w:lang w:eastAsia="en-US"/>
        </w:rPr>
        <w:t>апланированы мероприятия по проведению скрининговых исследований беременных женщин и новорожденных, развитие материально-технической базы детских поликлиники, обеспечение полноценным питанием детей в возрасте до 3 лет, беременных женщин и кормящих матерей,</w:t>
      </w:r>
      <w:r w:rsidR="00E8046B" w:rsidRPr="003F773C">
        <w:rPr>
          <w:rFonts w:asciiTheme="minorHAnsi" w:eastAsiaTheme="minorHAnsi" w:hAnsiTheme="minorHAnsi" w:cstheme="minorBidi"/>
          <w:sz w:val="22"/>
          <w:szCs w:val="22"/>
          <w:lang w:eastAsia="en-US"/>
        </w:rPr>
        <w:t xml:space="preserve"> </w:t>
      </w:r>
      <w:r w:rsidR="00E8046B" w:rsidRPr="003F773C">
        <w:rPr>
          <w:rFonts w:eastAsiaTheme="minorHAnsi"/>
          <w:szCs w:val="28"/>
          <w:lang w:eastAsia="en-US"/>
        </w:rPr>
        <w:t>проведение оздоровления детей по медицинским показаниям.</w:t>
      </w:r>
    </w:p>
    <w:p w:rsidR="003F773C" w:rsidRDefault="00D1550D" w:rsidP="003F773C">
      <w:pPr>
        <w:ind w:firstLine="709"/>
        <w:jc w:val="both"/>
        <w:rPr>
          <w:rFonts w:eastAsiaTheme="minorHAnsi"/>
          <w:szCs w:val="28"/>
          <w:lang w:eastAsia="en-US"/>
        </w:rPr>
      </w:pPr>
      <w:r w:rsidRPr="00D1550D">
        <w:rPr>
          <w:rFonts w:eastAsiaTheme="minorHAnsi"/>
          <w:szCs w:val="28"/>
          <w:lang w:eastAsia="en-US"/>
        </w:rPr>
        <w:t xml:space="preserve">в) </w:t>
      </w:r>
      <w:r w:rsidR="00E8046B" w:rsidRPr="00D1550D">
        <w:rPr>
          <w:rFonts w:eastAsiaTheme="minorHAnsi"/>
          <w:szCs w:val="28"/>
          <w:lang w:eastAsia="en-US"/>
        </w:rPr>
        <w:t>Борьба с сердечно-сосудистыми заболеваниями</w:t>
      </w:r>
      <w:r w:rsidR="003F773C" w:rsidRPr="00D1550D">
        <w:rPr>
          <w:rFonts w:eastAsiaTheme="minorHAnsi"/>
          <w:szCs w:val="28"/>
          <w:lang w:eastAsia="en-US"/>
        </w:rPr>
        <w:t>.</w:t>
      </w:r>
      <w:r w:rsidR="003F773C" w:rsidRPr="00D1550D">
        <w:t xml:space="preserve"> </w:t>
      </w:r>
      <w:r w:rsidR="003F773C" w:rsidRPr="003F773C">
        <w:rPr>
          <w:rFonts w:eastAsiaTheme="minorHAnsi"/>
          <w:szCs w:val="28"/>
          <w:lang w:eastAsia="en-US"/>
        </w:rPr>
        <w:t xml:space="preserve">Основной целью и задачей проекта к 2024 году будет являться: </w:t>
      </w:r>
    </w:p>
    <w:p w:rsidR="00E8046B" w:rsidRPr="00E8046B" w:rsidRDefault="003F773C" w:rsidP="003F773C">
      <w:pPr>
        <w:ind w:firstLine="709"/>
        <w:jc w:val="both"/>
        <w:rPr>
          <w:rFonts w:eastAsiaTheme="minorHAnsi"/>
          <w:szCs w:val="28"/>
          <w:lang w:eastAsia="en-US"/>
        </w:rPr>
      </w:pPr>
      <w:r>
        <w:rPr>
          <w:rFonts w:eastAsiaTheme="minorHAnsi"/>
          <w:szCs w:val="28"/>
          <w:lang w:eastAsia="en-US"/>
        </w:rPr>
        <w:t>с</w:t>
      </w:r>
      <w:r w:rsidR="00E8046B" w:rsidRPr="00E8046B">
        <w:rPr>
          <w:rFonts w:eastAsiaTheme="minorHAnsi"/>
          <w:szCs w:val="28"/>
          <w:lang w:eastAsia="en-US"/>
        </w:rPr>
        <w:t>нижение больничной летальности от острого коронарного синдрома до 8%</w:t>
      </w:r>
      <w:r>
        <w:rPr>
          <w:rFonts w:eastAsiaTheme="minorHAnsi"/>
          <w:szCs w:val="28"/>
          <w:lang w:eastAsia="en-US"/>
        </w:rPr>
        <w:t>;</w:t>
      </w:r>
    </w:p>
    <w:p w:rsidR="00E8046B" w:rsidRPr="00E8046B" w:rsidRDefault="003F773C" w:rsidP="003F773C">
      <w:pPr>
        <w:ind w:firstLine="709"/>
        <w:jc w:val="both"/>
        <w:rPr>
          <w:rFonts w:eastAsiaTheme="minorHAnsi"/>
          <w:szCs w:val="28"/>
          <w:lang w:eastAsia="en-US"/>
        </w:rPr>
      </w:pPr>
      <w:r>
        <w:rPr>
          <w:rFonts w:eastAsiaTheme="minorHAnsi"/>
          <w:szCs w:val="28"/>
          <w:lang w:eastAsia="en-US"/>
        </w:rPr>
        <w:t>с</w:t>
      </w:r>
      <w:r w:rsidR="00E8046B" w:rsidRPr="00E8046B">
        <w:rPr>
          <w:rFonts w:eastAsiaTheme="minorHAnsi"/>
          <w:szCs w:val="28"/>
          <w:lang w:eastAsia="en-US"/>
        </w:rPr>
        <w:t>нижение больничной летальности от острого нарушения мозгового кровообращения до 14,0%</w:t>
      </w:r>
      <w:r>
        <w:rPr>
          <w:rFonts w:eastAsiaTheme="minorHAnsi"/>
          <w:szCs w:val="28"/>
          <w:lang w:eastAsia="en-US"/>
        </w:rPr>
        <w:t>;</w:t>
      </w:r>
    </w:p>
    <w:p w:rsidR="00E8046B" w:rsidRPr="00E8046B" w:rsidRDefault="003F773C"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к 2024 г. доли больных с ишемическим инсультом, которым выполнен системный тромболизис до 5,5%</w:t>
      </w:r>
      <w:r>
        <w:rPr>
          <w:rFonts w:eastAsiaTheme="minorHAnsi"/>
          <w:szCs w:val="28"/>
          <w:lang w:eastAsia="en-US"/>
        </w:rPr>
        <w:t>.</w:t>
      </w:r>
    </w:p>
    <w:p w:rsidR="00E8046B" w:rsidRPr="003F773C" w:rsidRDefault="00E8046B" w:rsidP="003F773C">
      <w:pPr>
        <w:ind w:firstLine="709"/>
        <w:jc w:val="both"/>
        <w:rPr>
          <w:rFonts w:eastAsiaTheme="minorHAnsi"/>
          <w:szCs w:val="28"/>
          <w:lang w:eastAsia="en-US"/>
        </w:rPr>
      </w:pPr>
      <w:r w:rsidRPr="003F773C">
        <w:rPr>
          <w:rFonts w:eastAsiaTheme="minorHAnsi"/>
          <w:szCs w:val="28"/>
          <w:lang w:eastAsia="en-US"/>
        </w:rPr>
        <w:t>Запланированы мероприятия по закупке медицинского оборудования в сосудистые центры</w:t>
      </w:r>
      <w:r w:rsidR="003F773C">
        <w:rPr>
          <w:rFonts w:eastAsiaTheme="minorHAnsi"/>
          <w:szCs w:val="28"/>
          <w:lang w:eastAsia="en-US"/>
        </w:rPr>
        <w:t>.</w:t>
      </w:r>
    </w:p>
    <w:p w:rsidR="003F773C" w:rsidRPr="003F773C" w:rsidRDefault="00D1550D" w:rsidP="003F773C">
      <w:pPr>
        <w:ind w:firstLine="709"/>
        <w:jc w:val="both"/>
        <w:rPr>
          <w:rFonts w:eastAsiaTheme="minorHAnsi"/>
          <w:szCs w:val="28"/>
          <w:lang w:eastAsia="en-US"/>
        </w:rPr>
      </w:pPr>
      <w:r w:rsidRPr="00D1550D">
        <w:rPr>
          <w:rFonts w:eastAsiaTheme="minorHAnsi"/>
          <w:szCs w:val="28"/>
          <w:lang w:eastAsia="en-US"/>
        </w:rPr>
        <w:t xml:space="preserve">г) </w:t>
      </w:r>
      <w:r w:rsidR="003F773C" w:rsidRPr="00D1550D">
        <w:rPr>
          <w:rFonts w:eastAsiaTheme="minorHAnsi"/>
          <w:szCs w:val="28"/>
          <w:lang w:eastAsia="en-US"/>
        </w:rPr>
        <w:t>Б</w:t>
      </w:r>
      <w:r w:rsidR="00E8046B" w:rsidRPr="00D1550D">
        <w:rPr>
          <w:rFonts w:eastAsiaTheme="minorHAnsi"/>
          <w:szCs w:val="28"/>
          <w:lang w:eastAsia="en-US"/>
        </w:rPr>
        <w:t>орьба с онкологическими заболеваниями</w:t>
      </w:r>
      <w:r w:rsidR="003F773C" w:rsidRPr="00D1550D">
        <w:rPr>
          <w:rFonts w:eastAsiaTheme="minorHAnsi"/>
          <w:szCs w:val="28"/>
          <w:lang w:eastAsia="en-US"/>
        </w:rPr>
        <w:t>.</w:t>
      </w:r>
      <w:r w:rsidR="003F773C">
        <w:rPr>
          <w:rFonts w:eastAsiaTheme="minorHAnsi"/>
          <w:b/>
          <w:szCs w:val="28"/>
          <w:lang w:eastAsia="en-US"/>
        </w:rPr>
        <w:t xml:space="preserve"> </w:t>
      </w:r>
      <w:r w:rsidR="003F773C" w:rsidRPr="003F773C">
        <w:rPr>
          <w:rFonts w:eastAsiaTheme="minorHAnsi"/>
          <w:szCs w:val="28"/>
          <w:lang w:eastAsia="en-US"/>
        </w:rPr>
        <w:t xml:space="preserve">Основной целью и задачей проекта к 2024 году будет являться: </w:t>
      </w:r>
    </w:p>
    <w:p w:rsidR="00E8046B" w:rsidRPr="00E8046B" w:rsidRDefault="003F773C"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доли злокачественных новообразований, выявленных на ранних стадиях (I-II стадии) до 60,9%</w:t>
      </w:r>
      <w:r>
        <w:rPr>
          <w:rFonts w:eastAsiaTheme="minorHAnsi"/>
          <w:szCs w:val="28"/>
          <w:lang w:eastAsia="en-US"/>
        </w:rPr>
        <w:t>;</w:t>
      </w:r>
    </w:p>
    <w:p w:rsidR="00E8046B" w:rsidRPr="00E8046B" w:rsidRDefault="003F773C"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удельного веса больных со злокачественными новообразованиями, состоящих на учете 5 лет и более до 60%</w:t>
      </w:r>
      <w:r>
        <w:rPr>
          <w:rFonts w:eastAsiaTheme="minorHAnsi"/>
          <w:szCs w:val="28"/>
          <w:lang w:eastAsia="en-US"/>
        </w:rPr>
        <w:t>;</w:t>
      </w:r>
    </w:p>
    <w:p w:rsidR="00E8046B" w:rsidRPr="00E8046B" w:rsidRDefault="003F773C" w:rsidP="003F773C">
      <w:pPr>
        <w:ind w:firstLine="709"/>
        <w:jc w:val="both"/>
        <w:rPr>
          <w:rFonts w:eastAsiaTheme="minorHAnsi"/>
          <w:szCs w:val="28"/>
          <w:lang w:eastAsia="en-US"/>
        </w:rPr>
      </w:pPr>
      <w:r>
        <w:rPr>
          <w:rFonts w:eastAsiaTheme="minorHAnsi"/>
          <w:szCs w:val="28"/>
          <w:lang w:eastAsia="en-US"/>
        </w:rPr>
        <w:t xml:space="preserve">снижение </w:t>
      </w:r>
      <w:r w:rsidR="00E8046B" w:rsidRPr="00E8046B">
        <w:rPr>
          <w:rFonts w:eastAsiaTheme="minorHAnsi"/>
          <w:szCs w:val="28"/>
          <w:lang w:eastAsia="en-US"/>
        </w:rPr>
        <w:t>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22,4%</w:t>
      </w:r>
      <w:r>
        <w:rPr>
          <w:rFonts w:eastAsiaTheme="minorHAnsi"/>
          <w:szCs w:val="28"/>
          <w:lang w:eastAsia="en-US"/>
        </w:rPr>
        <w:t>.</w:t>
      </w:r>
    </w:p>
    <w:p w:rsidR="00E8046B" w:rsidRPr="003F773C" w:rsidRDefault="003F773C" w:rsidP="003F773C">
      <w:pPr>
        <w:ind w:firstLine="709"/>
        <w:jc w:val="both"/>
        <w:rPr>
          <w:rFonts w:eastAsiaTheme="minorHAnsi"/>
          <w:szCs w:val="28"/>
          <w:lang w:eastAsia="en-US"/>
        </w:rPr>
      </w:pPr>
      <w:r w:rsidRPr="003F773C">
        <w:rPr>
          <w:rFonts w:eastAsiaTheme="minorHAnsi"/>
          <w:szCs w:val="28"/>
          <w:lang w:eastAsia="en-US"/>
        </w:rPr>
        <w:t>В рамках реализации данного проекта з</w:t>
      </w:r>
      <w:r w:rsidR="00E8046B" w:rsidRPr="003F773C">
        <w:rPr>
          <w:rFonts w:eastAsiaTheme="minorHAnsi"/>
          <w:szCs w:val="28"/>
          <w:lang w:eastAsia="en-US"/>
        </w:rPr>
        <w:t>апланированы мероприятия по закупке медицинского оборудования для центров онкологической помощи, проведение скрининга женского населения против рака шейки матки, проведение иммунизации женского населения против рака шейки матки.</w:t>
      </w:r>
    </w:p>
    <w:p w:rsidR="00E8046B" w:rsidRPr="00D37555" w:rsidRDefault="00D1550D" w:rsidP="00D37555">
      <w:pPr>
        <w:ind w:firstLine="709"/>
        <w:jc w:val="both"/>
        <w:rPr>
          <w:rFonts w:eastAsiaTheme="minorHAnsi"/>
          <w:b/>
          <w:szCs w:val="28"/>
          <w:lang w:eastAsia="en-US"/>
        </w:rPr>
      </w:pPr>
      <w:r w:rsidRPr="00D1550D">
        <w:rPr>
          <w:rFonts w:eastAsiaTheme="minorHAnsi"/>
          <w:szCs w:val="28"/>
          <w:lang w:eastAsia="en-US"/>
        </w:rPr>
        <w:t xml:space="preserve">д) </w:t>
      </w:r>
      <w:r w:rsidR="00E8046B" w:rsidRPr="00D1550D">
        <w:rPr>
          <w:rFonts w:eastAsiaTheme="minorHAnsi"/>
          <w:szCs w:val="28"/>
          <w:lang w:eastAsia="en-US"/>
        </w:rPr>
        <w:t>Создание единого цифрового контура в здравоохранении на основе единой государственной информационной системы здравоохранения (ЕГИСЗ)</w:t>
      </w:r>
      <w:r w:rsidR="00D37555" w:rsidRPr="00D1550D">
        <w:rPr>
          <w:rFonts w:eastAsiaTheme="minorHAnsi"/>
          <w:szCs w:val="28"/>
          <w:lang w:eastAsia="en-US"/>
        </w:rPr>
        <w:t>.</w:t>
      </w:r>
      <w:r w:rsidR="00D37555" w:rsidRPr="00D37555">
        <w:t xml:space="preserve"> </w:t>
      </w:r>
      <w:r w:rsidR="00D37555" w:rsidRPr="00D37555">
        <w:rPr>
          <w:rFonts w:eastAsiaTheme="minorHAnsi"/>
          <w:szCs w:val="28"/>
          <w:lang w:eastAsia="en-US"/>
        </w:rPr>
        <w:t>Основной целью и задачей проекта к 2024 году будет являться:</w:t>
      </w:r>
    </w:p>
    <w:p w:rsidR="00E8046B" w:rsidRPr="00E8046B" w:rsidRDefault="00D37555" w:rsidP="003F773C">
      <w:pPr>
        <w:ind w:firstLine="709"/>
        <w:jc w:val="both"/>
        <w:rPr>
          <w:rFonts w:eastAsiaTheme="minorHAnsi"/>
          <w:szCs w:val="28"/>
          <w:lang w:eastAsia="en-US"/>
        </w:rPr>
      </w:pPr>
      <w:r>
        <w:rPr>
          <w:rFonts w:eastAsiaTheme="minorHAnsi"/>
          <w:szCs w:val="28"/>
          <w:lang w:eastAsia="en-US"/>
        </w:rPr>
        <w:lastRenderedPageBreak/>
        <w:t>у</w:t>
      </w:r>
      <w:r w:rsidR="00E8046B" w:rsidRPr="00E8046B">
        <w:rPr>
          <w:rFonts w:eastAsiaTheme="minorHAnsi"/>
          <w:szCs w:val="28"/>
          <w:lang w:eastAsia="en-US"/>
        </w:rPr>
        <w:t>величение доли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подведомственных медицинских организациях до 60%</w:t>
      </w:r>
      <w:r>
        <w:rPr>
          <w:rFonts w:eastAsiaTheme="minorHAnsi"/>
          <w:szCs w:val="28"/>
          <w:lang w:eastAsia="en-US"/>
        </w:rPr>
        <w:t>;</w:t>
      </w:r>
    </w:p>
    <w:p w:rsidR="00E8046B" w:rsidRPr="00E8046B" w:rsidRDefault="00D37555"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количества автоматизированных рабочих мест в подведомственных медицинских организациях до 3</w:t>
      </w:r>
      <w:r>
        <w:rPr>
          <w:rFonts w:eastAsiaTheme="minorHAnsi"/>
          <w:szCs w:val="28"/>
          <w:lang w:eastAsia="en-US"/>
        </w:rPr>
        <w:t> </w:t>
      </w:r>
      <w:r w:rsidR="00E8046B" w:rsidRPr="00E8046B">
        <w:rPr>
          <w:rFonts w:eastAsiaTheme="minorHAnsi"/>
          <w:szCs w:val="28"/>
          <w:lang w:eastAsia="en-US"/>
        </w:rPr>
        <w:t>2</w:t>
      </w:r>
      <w:r>
        <w:rPr>
          <w:rFonts w:eastAsiaTheme="minorHAnsi"/>
          <w:szCs w:val="28"/>
          <w:lang w:eastAsia="en-US"/>
        </w:rPr>
        <w:t>55;</w:t>
      </w:r>
    </w:p>
    <w:p w:rsidR="00E8046B" w:rsidRPr="00D1550D" w:rsidRDefault="00D37555"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 xml:space="preserve">величение доли автоматизированных рабочих мест медицинских работников подведомственных медицинских организаций, подключенных к защищенной сети </w:t>
      </w:r>
      <w:r w:rsidR="00E8046B" w:rsidRPr="00D1550D">
        <w:rPr>
          <w:rFonts w:eastAsiaTheme="minorHAnsi"/>
          <w:szCs w:val="28"/>
          <w:lang w:eastAsia="en-US"/>
        </w:rPr>
        <w:t>передачи данных субъекта Российской Федерации до 100%</w:t>
      </w:r>
      <w:r w:rsidRPr="00D1550D">
        <w:rPr>
          <w:rFonts w:eastAsiaTheme="minorHAnsi"/>
          <w:szCs w:val="28"/>
          <w:lang w:eastAsia="en-US"/>
        </w:rPr>
        <w:t>.</w:t>
      </w:r>
    </w:p>
    <w:p w:rsidR="00D37555" w:rsidRPr="00D37555" w:rsidRDefault="00D1550D" w:rsidP="003F773C">
      <w:pPr>
        <w:ind w:firstLine="709"/>
        <w:jc w:val="both"/>
        <w:rPr>
          <w:rFonts w:eastAsiaTheme="minorHAnsi"/>
          <w:szCs w:val="28"/>
          <w:lang w:eastAsia="en-US"/>
        </w:rPr>
      </w:pPr>
      <w:r w:rsidRPr="00D1550D">
        <w:rPr>
          <w:rFonts w:eastAsiaTheme="minorHAnsi"/>
          <w:szCs w:val="28"/>
          <w:lang w:eastAsia="en-US"/>
        </w:rPr>
        <w:t xml:space="preserve">ж) </w:t>
      </w:r>
      <w:r w:rsidR="00E8046B" w:rsidRPr="00D1550D">
        <w:rPr>
          <w:rFonts w:eastAsiaTheme="minorHAnsi"/>
          <w:szCs w:val="28"/>
          <w:lang w:eastAsia="en-US"/>
        </w:rPr>
        <w:t>Обеспечение медицинских организаций Тверской области квалифицированными кадрами</w:t>
      </w:r>
      <w:r w:rsidR="00D37555" w:rsidRPr="00D1550D">
        <w:rPr>
          <w:rFonts w:eastAsiaTheme="minorHAnsi"/>
          <w:szCs w:val="28"/>
          <w:lang w:eastAsia="en-US"/>
        </w:rPr>
        <w:t>.</w:t>
      </w:r>
      <w:r w:rsidR="00D37555" w:rsidRPr="00D37555">
        <w:rPr>
          <w:rFonts w:eastAsiaTheme="minorHAnsi"/>
          <w:szCs w:val="28"/>
          <w:lang w:eastAsia="en-US"/>
        </w:rPr>
        <w:t xml:space="preserve"> Основной целью и задачей проекта к 2024 году будет являться: </w:t>
      </w:r>
    </w:p>
    <w:p w:rsidR="00E8046B" w:rsidRPr="00E8046B" w:rsidRDefault="00D37555"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укомплектованности врачебных должностей в подразделениях, оказывающих медицинскую помощь в амбулаторных условиях (физическими лицами при коэффициенте 1,2) до 94%</w:t>
      </w:r>
      <w:r>
        <w:rPr>
          <w:rFonts w:eastAsiaTheme="minorHAnsi"/>
          <w:szCs w:val="28"/>
          <w:lang w:eastAsia="en-US"/>
        </w:rPr>
        <w:t>;</w:t>
      </w:r>
    </w:p>
    <w:p w:rsidR="00E8046B" w:rsidRPr="00E8046B" w:rsidRDefault="00D37555"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укомплектованности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до 95%</w:t>
      </w:r>
    </w:p>
    <w:p w:rsidR="00E8046B" w:rsidRPr="00E8046B" w:rsidRDefault="00D37555"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числа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до 16,7 тыс. чел.</w:t>
      </w:r>
      <w:r w:rsidR="00AD6C19">
        <w:rPr>
          <w:rFonts w:eastAsiaTheme="minorHAnsi"/>
          <w:szCs w:val="28"/>
          <w:lang w:eastAsia="en-US"/>
        </w:rPr>
        <w:t>;</w:t>
      </w:r>
    </w:p>
    <w:p w:rsidR="00E8046B" w:rsidRPr="00E8046B" w:rsidRDefault="00AD6C19"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укомплектованности участков медицинских организаций, оказывающих первичную медико-санитарную помощь, врачами-терапевтами участковыми, врачами-педиатрами участковыми, врачами общей практики (семейной медицины) (физическими лицами при коэффициенте совместительства 1,2) до 99%</w:t>
      </w:r>
      <w:r>
        <w:rPr>
          <w:rFonts w:eastAsiaTheme="minorHAnsi"/>
          <w:szCs w:val="28"/>
          <w:lang w:eastAsia="en-US"/>
        </w:rPr>
        <w:t>;</w:t>
      </w:r>
    </w:p>
    <w:p w:rsidR="00E8046B" w:rsidRPr="00E8046B" w:rsidRDefault="00AD6C19" w:rsidP="003F773C">
      <w:pPr>
        <w:ind w:firstLine="709"/>
        <w:jc w:val="both"/>
        <w:rPr>
          <w:rFonts w:eastAsiaTheme="minorHAnsi"/>
          <w:szCs w:val="28"/>
          <w:lang w:eastAsia="en-US"/>
        </w:rPr>
      </w:pPr>
      <w:r>
        <w:rPr>
          <w:rFonts w:eastAsiaTheme="minorHAnsi"/>
          <w:szCs w:val="28"/>
          <w:lang w:eastAsia="en-US"/>
        </w:rPr>
        <w:t xml:space="preserve"> у</w:t>
      </w:r>
      <w:r w:rsidR="00E8046B" w:rsidRPr="00E8046B">
        <w:rPr>
          <w:rFonts w:eastAsiaTheme="minorHAnsi"/>
          <w:szCs w:val="28"/>
          <w:lang w:eastAsia="en-US"/>
        </w:rPr>
        <w:t>величение укомплектованности штатных должностей фельдшерско-акушерских (фельдшерских) пунктов средним медицинским персоналом (физическими лицами) до 100%</w:t>
      </w:r>
      <w:r>
        <w:rPr>
          <w:rFonts w:eastAsiaTheme="minorHAnsi"/>
          <w:szCs w:val="28"/>
          <w:lang w:eastAsia="en-US"/>
        </w:rPr>
        <w:t>;</w:t>
      </w:r>
    </w:p>
    <w:p w:rsidR="00E8046B" w:rsidRPr="00E8046B" w:rsidRDefault="00E8046B" w:rsidP="003F773C">
      <w:pPr>
        <w:ind w:firstLine="709"/>
        <w:jc w:val="both"/>
        <w:rPr>
          <w:rFonts w:eastAsiaTheme="minorHAnsi"/>
          <w:szCs w:val="28"/>
          <w:lang w:eastAsia="en-US"/>
        </w:rPr>
      </w:pPr>
      <w:r w:rsidRPr="00E8046B">
        <w:rPr>
          <w:rFonts w:eastAsiaTheme="minorHAnsi"/>
          <w:szCs w:val="28"/>
          <w:lang w:eastAsia="en-US"/>
        </w:rPr>
        <w:t xml:space="preserve"> </w:t>
      </w:r>
      <w:r w:rsidR="00AD6C19">
        <w:rPr>
          <w:rFonts w:eastAsiaTheme="minorHAnsi"/>
          <w:szCs w:val="28"/>
          <w:lang w:eastAsia="en-US"/>
        </w:rPr>
        <w:t>у</w:t>
      </w:r>
      <w:r w:rsidRPr="00E8046B">
        <w:rPr>
          <w:rFonts w:eastAsiaTheme="minorHAnsi"/>
          <w:szCs w:val="28"/>
          <w:lang w:eastAsia="en-US"/>
        </w:rPr>
        <w:t xml:space="preserve">величение численности врачей, работающих в государственных и муниципальных </w:t>
      </w:r>
      <w:r w:rsidR="00AD6C19">
        <w:rPr>
          <w:rFonts w:eastAsiaTheme="minorHAnsi"/>
          <w:szCs w:val="28"/>
          <w:lang w:eastAsia="en-US"/>
        </w:rPr>
        <w:t>медицинских до 5,0 тыс. человек.</w:t>
      </w:r>
    </w:p>
    <w:p w:rsidR="00E8046B" w:rsidRPr="00AD6C19" w:rsidRDefault="00E8046B" w:rsidP="003F773C">
      <w:pPr>
        <w:ind w:firstLine="709"/>
        <w:jc w:val="both"/>
        <w:rPr>
          <w:rFonts w:eastAsiaTheme="minorHAnsi"/>
          <w:szCs w:val="28"/>
          <w:lang w:eastAsia="en-US"/>
        </w:rPr>
      </w:pPr>
      <w:r w:rsidRPr="00E8046B">
        <w:rPr>
          <w:rFonts w:eastAsiaTheme="minorHAnsi"/>
          <w:szCs w:val="28"/>
          <w:lang w:eastAsia="en-US"/>
        </w:rPr>
        <w:t xml:space="preserve"> </w:t>
      </w:r>
      <w:r w:rsidR="00AD6C19" w:rsidRPr="00AD6C19">
        <w:rPr>
          <w:rFonts w:eastAsiaTheme="minorHAnsi"/>
          <w:szCs w:val="28"/>
          <w:lang w:eastAsia="en-US"/>
        </w:rPr>
        <w:t xml:space="preserve">В рамках реализации данного проекта </w:t>
      </w:r>
      <w:r w:rsidR="00AD6C19">
        <w:rPr>
          <w:rFonts w:eastAsiaTheme="minorHAnsi"/>
          <w:szCs w:val="28"/>
          <w:lang w:eastAsia="en-US"/>
        </w:rPr>
        <w:t xml:space="preserve">запланированы </w:t>
      </w:r>
      <w:r w:rsidRPr="00AD6C19">
        <w:rPr>
          <w:rFonts w:eastAsiaTheme="minorHAnsi"/>
          <w:szCs w:val="28"/>
          <w:lang w:eastAsia="en-US"/>
        </w:rPr>
        <w:t>мероприятия по предоставлению денежной выплаты студентам, обучающимся в Тверском государственном медицинском университете по договору о целевом обучении, единовременных компенсационных выплат медицинским работникам, имеющим среднее профессиональное образование, переехавшим на работу в сельскую местность. Обеспечены финансированием медицинские колледжи, осуществлено стипендиальное обеспечение учащихся медицинских колледжей.</w:t>
      </w:r>
    </w:p>
    <w:p w:rsidR="00AD6C19" w:rsidRPr="00AD6C19" w:rsidRDefault="00D1550D" w:rsidP="003F773C">
      <w:pPr>
        <w:ind w:firstLine="709"/>
        <w:jc w:val="both"/>
        <w:rPr>
          <w:rFonts w:eastAsiaTheme="minorHAnsi"/>
          <w:szCs w:val="28"/>
          <w:lang w:eastAsia="en-US"/>
        </w:rPr>
      </w:pPr>
      <w:r w:rsidRPr="00D1550D">
        <w:rPr>
          <w:rFonts w:eastAsiaTheme="minorHAnsi"/>
          <w:szCs w:val="28"/>
          <w:lang w:eastAsia="en-US"/>
        </w:rPr>
        <w:t xml:space="preserve">з) </w:t>
      </w:r>
      <w:r w:rsidR="00E8046B" w:rsidRPr="00D1550D">
        <w:rPr>
          <w:rFonts w:eastAsiaTheme="minorHAnsi"/>
          <w:szCs w:val="28"/>
          <w:lang w:eastAsia="en-US"/>
        </w:rPr>
        <w:t>Развитие экспорта медицинских услуг</w:t>
      </w:r>
      <w:r w:rsidR="00AD6C19" w:rsidRPr="00D1550D">
        <w:rPr>
          <w:rFonts w:eastAsiaTheme="minorHAnsi"/>
          <w:szCs w:val="28"/>
          <w:lang w:eastAsia="en-US"/>
        </w:rPr>
        <w:t>.</w:t>
      </w:r>
      <w:r w:rsidR="00AD6C19" w:rsidRPr="00AD6C19">
        <w:t xml:space="preserve"> </w:t>
      </w:r>
      <w:r w:rsidR="00AD6C19" w:rsidRPr="00AD6C19">
        <w:rPr>
          <w:rFonts w:eastAsiaTheme="minorHAnsi"/>
          <w:szCs w:val="28"/>
          <w:lang w:eastAsia="en-US"/>
        </w:rPr>
        <w:t xml:space="preserve">Основной целью и задачей проекта к 2024 году будет являться: </w:t>
      </w:r>
    </w:p>
    <w:p w:rsidR="00E8046B" w:rsidRPr="00E8046B" w:rsidRDefault="00AD6C19" w:rsidP="003F773C">
      <w:pPr>
        <w:ind w:firstLine="709"/>
        <w:jc w:val="both"/>
        <w:rPr>
          <w:rFonts w:eastAsiaTheme="minorHAnsi"/>
          <w:szCs w:val="28"/>
          <w:lang w:eastAsia="en-US"/>
        </w:rPr>
      </w:pPr>
      <w:r>
        <w:rPr>
          <w:rFonts w:eastAsiaTheme="minorHAnsi"/>
          <w:szCs w:val="28"/>
          <w:lang w:eastAsia="en-US"/>
        </w:rPr>
        <w:t>у</w:t>
      </w:r>
      <w:r w:rsidR="00E8046B" w:rsidRPr="00E8046B">
        <w:rPr>
          <w:rFonts w:eastAsiaTheme="minorHAnsi"/>
          <w:szCs w:val="28"/>
          <w:lang w:eastAsia="en-US"/>
        </w:rPr>
        <w:t>величение доли иностранных граждан, получивших медицинскую помощь в подведомственных Министерству здравоохранения Тверской области медицинских организациях, за счет личных средств или средств добровольного медицинского страхования до 1%</w:t>
      </w:r>
      <w:r>
        <w:rPr>
          <w:rFonts w:eastAsiaTheme="minorHAnsi"/>
          <w:szCs w:val="28"/>
          <w:lang w:eastAsia="en-US"/>
        </w:rPr>
        <w:t>.</w:t>
      </w:r>
    </w:p>
    <w:p w:rsidR="00E8046B" w:rsidRPr="00E8046B" w:rsidRDefault="00AD6C19" w:rsidP="003F773C">
      <w:pPr>
        <w:ind w:firstLine="709"/>
        <w:jc w:val="both"/>
        <w:rPr>
          <w:rFonts w:eastAsiaTheme="minorHAnsi"/>
          <w:szCs w:val="28"/>
          <w:lang w:eastAsia="en-US"/>
        </w:rPr>
      </w:pPr>
      <w:r w:rsidRPr="00AD6C19">
        <w:rPr>
          <w:rFonts w:eastAsiaTheme="minorHAnsi"/>
          <w:szCs w:val="28"/>
          <w:lang w:eastAsia="en-US"/>
        </w:rPr>
        <w:t>В рамках реализации данного проекта</w:t>
      </w:r>
      <w:r w:rsidR="00E8046B" w:rsidRPr="00AD6C19">
        <w:rPr>
          <w:rFonts w:eastAsiaTheme="minorHAnsi"/>
          <w:szCs w:val="28"/>
          <w:lang w:eastAsia="en-US"/>
        </w:rPr>
        <w:t xml:space="preserve"> </w:t>
      </w:r>
      <w:r>
        <w:rPr>
          <w:rFonts w:eastAsiaTheme="minorHAnsi"/>
          <w:szCs w:val="28"/>
          <w:lang w:eastAsia="en-US"/>
        </w:rPr>
        <w:t>з</w:t>
      </w:r>
      <w:r w:rsidR="00E8046B" w:rsidRPr="00E8046B">
        <w:rPr>
          <w:rFonts w:eastAsiaTheme="minorHAnsi"/>
          <w:szCs w:val="28"/>
          <w:lang w:eastAsia="en-US"/>
        </w:rPr>
        <w:t xml:space="preserve">апланирована разработка и внедрение системы мониторинга статистических данных медицинских организаций по объему оказания медицинских услуг иностранным гражданам. Создание положительного </w:t>
      </w:r>
      <w:r w:rsidR="00E8046B" w:rsidRPr="00E8046B">
        <w:rPr>
          <w:rFonts w:eastAsiaTheme="minorHAnsi"/>
          <w:szCs w:val="28"/>
          <w:lang w:eastAsia="en-US"/>
        </w:rPr>
        <w:lastRenderedPageBreak/>
        <w:t>имиджа и доверительного отношения к услугам медицинской организации путем размещения на сайте положительных отзывов иностранных граждан об оказанных услугах, специалистах, условиях пребывания</w:t>
      </w:r>
      <w:r>
        <w:rPr>
          <w:rFonts w:eastAsiaTheme="minorHAnsi"/>
          <w:szCs w:val="28"/>
          <w:lang w:eastAsia="en-US"/>
        </w:rPr>
        <w:t>.</w:t>
      </w:r>
    </w:p>
    <w:p w:rsidR="00DA502E" w:rsidRPr="00DA502E" w:rsidRDefault="00DA502E" w:rsidP="006B18D3">
      <w:pPr>
        <w:ind w:firstLine="709"/>
        <w:jc w:val="both"/>
        <w:rPr>
          <w:rFonts w:eastAsia="Calibri"/>
          <w:b/>
          <w:szCs w:val="28"/>
          <w:highlight w:val="yellow"/>
          <w:lang w:eastAsia="en-US"/>
        </w:rPr>
      </w:pPr>
    </w:p>
    <w:p w:rsidR="006B18D3" w:rsidRPr="001326EC" w:rsidRDefault="006B18D3" w:rsidP="006B18D3">
      <w:pPr>
        <w:ind w:firstLine="709"/>
        <w:jc w:val="both"/>
        <w:rPr>
          <w:rFonts w:eastAsia="Calibri"/>
          <w:b/>
          <w:szCs w:val="28"/>
          <w:lang w:eastAsia="en-US"/>
        </w:rPr>
      </w:pPr>
      <w:r w:rsidRPr="001326EC">
        <w:rPr>
          <w:rFonts w:eastAsia="Calibri"/>
          <w:b/>
          <w:szCs w:val="28"/>
          <w:lang w:eastAsia="en-US"/>
        </w:rPr>
        <w:t>Национальный проект «Образование»</w:t>
      </w:r>
      <w:r w:rsidR="00DA502E" w:rsidRPr="001326EC">
        <w:rPr>
          <w:rFonts w:eastAsia="Calibri"/>
          <w:b/>
          <w:szCs w:val="28"/>
          <w:lang w:eastAsia="en-US"/>
        </w:rPr>
        <w:t>.</w:t>
      </w:r>
    </w:p>
    <w:p w:rsidR="001326EC" w:rsidRDefault="001670D1" w:rsidP="001326EC">
      <w:pPr>
        <w:ind w:firstLine="708"/>
        <w:jc w:val="both"/>
        <w:rPr>
          <w:rFonts w:eastAsiaTheme="minorHAnsi"/>
          <w:szCs w:val="28"/>
          <w:lang w:eastAsia="en-US"/>
        </w:rPr>
      </w:pPr>
      <w:r>
        <w:rPr>
          <w:rFonts w:eastAsiaTheme="minorHAnsi"/>
          <w:szCs w:val="28"/>
          <w:lang w:eastAsia="en-US"/>
        </w:rPr>
        <w:t>В р</w:t>
      </w:r>
      <w:r w:rsidRPr="00E8046B">
        <w:rPr>
          <w:rFonts w:eastAsiaTheme="minorHAnsi"/>
          <w:szCs w:val="28"/>
          <w:lang w:eastAsia="en-US"/>
        </w:rPr>
        <w:t>амках реализации национального проект</w:t>
      </w:r>
      <w:r>
        <w:rPr>
          <w:rFonts w:eastAsiaTheme="minorHAnsi"/>
          <w:szCs w:val="28"/>
          <w:lang w:eastAsia="en-US"/>
        </w:rPr>
        <w:t xml:space="preserve">а </w:t>
      </w:r>
      <w:r w:rsidRPr="00E8046B">
        <w:rPr>
          <w:rFonts w:eastAsiaTheme="minorHAnsi"/>
          <w:szCs w:val="28"/>
          <w:lang w:eastAsia="en-US"/>
        </w:rPr>
        <w:t>«</w:t>
      </w:r>
      <w:r>
        <w:rPr>
          <w:rFonts w:eastAsiaTheme="minorHAnsi"/>
          <w:szCs w:val="28"/>
          <w:lang w:eastAsia="en-US"/>
        </w:rPr>
        <w:t>Образование</w:t>
      </w:r>
      <w:r w:rsidRPr="00E8046B">
        <w:rPr>
          <w:rFonts w:eastAsiaTheme="minorHAnsi"/>
          <w:szCs w:val="28"/>
          <w:lang w:eastAsia="en-US"/>
        </w:rPr>
        <w:t>»</w:t>
      </w:r>
      <w:r>
        <w:rPr>
          <w:rFonts w:eastAsiaTheme="minorHAnsi"/>
          <w:szCs w:val="28"/>
          <w:lang w:eastAsia="en-US"/>
        </w:rPr>
        <w:t xml:space="preserve"> в Тверской области </w:t>
      </w:r>
      <w:r w:rsidR="001326EC">
        <w:rPr>
          <w:rFonts w:eastAsiaTheme="minorHAnsi"/>
          <w:szCs w:val="28"/>
          <w:lang w:eastAsia="en-US"/>
        </w:rPr>
        <w:t xml:space="preserve">осуществляется формирование </w:t>
      </w:r>
      <w:r w:rsidRPr="001670D1">
        <w:rPr>
          <w:rFonts w:eastAsiaTheme="minorHAnsi"/>
          <w:szCs w:val="28"/>
          <w:lang w:eastAsia="en-US"/>
        </w:rPr>
        <w:t>региональн</w:t>
      </w:r>
      <w:r w:rsidR="001326EC">
        <w:rPr>
          <w:rFonts w:eastAsiaTheme="minorHAnsi"/>
          <w:szCs w:val="28"/>
          <w:lang w:eastAsia="en-US"/>
        </w:rPr>
        <w:t>ой</w:t>
      </w:r>
      <w:r w:rsidRPr="001670D1">
        <w:rPr>
          <w:rFonts w:eastAsiaTheme="minorHAnsi"/>
          <w:szCs w:val="28"/>
          <w:lang w:eastAsia="en-US"/>
        </w:rPr>
        <w:t xml:space="preserve"> составляющ</w:t>
      </w:r>
      <w:r w:rsidR="001326EC">
        <w:rPr>
          <w:rFonts w:eastAsiaTheme="minorHAnsi"/>
          <w:szCs w:val="28"/>
          <w:lang w:eastAsia="en-US"/>
        </w:rPr>
        <w:t>ей</w:t>
      </w:r>
      <w:r w:rsidRPr="001670D1">
        <w:rPr>
          <w:rFonts w:eastAsiaTheme="minorHAnsi"/>
          <w:szCs w:val="28"/>
          <w:lang w:eastAsia="en-US"/>
        </w:rPr>
        <w:t xml:space="preserve"> </w:t>
      </w:r>
      <w:r w:rsidR="001326EC">
        <w:rPr>
          <w:rFonts w:eastAsiaTheme="minorHAnsi"/>
          <w:szCs w:val="28"/>
          <w:lang w:eastAsia="en-US"/>
        </w:rPr>
        <w:t>н</w:t>
      </w:r>
      <w:r w:rsidRPr="001670D1">
        <w:rPr>
          <w:rFonts w:eastAsiaTheme="minorHAnsi"/>
          <w:szCs w:val="28"/>
          <w:lang w:eastAsia="en-US"/>
        </w:rPr>
        <w:t>ационального проекта</w:t>
      </w:r>
      <w:r w:rsidR="001326EC">
        <w:rPr>
          <w:rFonts w:eastAsiaTheme="minorHAnsi"/>
          <w:szCs w:val="28"/>
          <w:lang w:eastAsia="en-US"/>
        </w:rPr>
        <w:t xml:space="preserve"> «Образование»</w:t>
      </w:r>
      <w:r w:rsidRPr="001670D1">
        <w:rPr>
          <w:rFonts w:eastAsiaTheme="minorHAnsi"/>
          <w:szCs w:val="28"/>
          <w:lang w:eastAsia="en-US"/>
        </w:rPr>
        <w:t xml:space="preserve">, в том числе определяются мероприятия государственной программы «Развитие образования Тверской области» на 2019 -2024 годы, направленные на достижение целей и задач </w:t>
      </w:r>
      <w:r w:rsidR="001326EC">
        <w:rPr>
          <w:rFonts w:eastAsiaTheme="minorHAnsi"/>
          <w:szCs w:val="28"/>
          <w:lang w:eastAsia="en-US"/>
        </w:rPr>
        <w:t>н</w:t>
      </w:r>
      <w:r w:rsidRPr="001670D1">
        <w:rPr>
          <w:rFonts w:eastAsiaTheme="minorHAnsi"/>
          <w:szCs w:val="28"/>
          <w:lang w:eastAsia="en-US"/>
        </w:rPr>
        <w:t>ационального проекта, во взаимодействии с Министерством п</w:t>
      </w:r>
      <w:r w:rsidR="001326EC">
        <w:rPr>
          <w:rFonts w:eastAsiaTheme="minorHAnsi"/>
          <w:szCs w:val="28"/>
          <w:lang w:eastAsia="en-US"/>
        </w:rPr>
        <w:t xml:space="preserve">росвещения Российской Федерации. </w:t>
      </w:r>
    </w:p>
    <w:p w:rsidR="001670D1" w:rsidRDefault="001326EC" w:rsidP="001326EC">
      <w:pPr>
        <w:ind w:firstLine="709"/>
        <w:jc w:val="both"/>
        <w:rPr>
          <w:rFonts w:eastAsiaTheme="minorHAnsi"/>
          <w:szCs w:val="28"/>
          <w:lang w:eastAsia="en-US"/>
        </w:rPr>
      </w:pPr>
      <w:r w:rsidRPr="001326EC">
        <w:rPr>
          <w:rFonts w:eastAsiaTheme="minorHAnsi"/>
          <w:szCs w:val="28"/>
          <w:lang w:eastAsia="en-US"/>
        </w:rPr>
        <w:t>Основными направлениями реализации национального проекта «</w:t>
      </w:r>
      <w:r>
        <w:rPr>
          <w:rFonts w:eastAsiaTheme="minorHAnsi"/>
          <w:szCs w:val="28"/>
          <w:lang w:eastAsia="en-US"/>
        </w:rPr>
        <w:t>Образование» на региональном уровне в предстоящем периоде буду</w:t>
      </w:r>
      <w:r w:rsidRPr="001326EC">
        <w:rPr>
          <w:rFonts w:eastAsiaTheme="minorHAnsi"/>
          <w:szCs w:val="28"/>
          <w:lang w:eastAsia="en-US"/>
        </w:rPr>
        <w:t>т являться:</w:t>
      </w:r>
    </w:p>
    <w:p w:rsidR="001326EC" w:rsidRDefault="001326EC" w:rsidP="001326EC">
      <w:pPr>
        <w:autoSpaceDE w:val="0"/>
        <w:autoSpaceDN w:val="0"/>
        <w:ind w:firstLine="709"/>
        <w:jc w:val="both"/>
        <w:rPr>
          <w:szCs w:val="28"/>
        </w:rPr>
      </w:pPr>
      <w:r w:rsidRPr="00A55668">
        <w:rPr>
          <w:szCs w:val="28"/>
        </w:rPr>
        <w:t>реализация образовательных программ естественно-научной и технической направленности государственным бюджетным учреждением дополнительного образования детей «Тверской областной центр юных техников», в том числе в рамках функционирования детского технопарка «Кванториум</w:t>
      </w:r>
      <w:r>
        <w:rPr>
          <w:szCs w:val="28"/>
        </w:rPr>
        <w:t>»;</w:t>
      </w:r>
    </w:p>
    <w:p w:rsidR="001326EC" w:rsidRDefault="001326EC" w:rsidP="001326EC">
      <w:pPr>
        <w:autoSpaceDE w:val="0"/>
        <w:autoSpaceDN w:val="0"/>
        <w:ind w:left="1" w:firstLine="708"/>
        <w:jc w:val="both"/>
        <w:rPr>
          <w:szCs w:val="28"/>
        </w:rPr>
      </w:pPr>
      <w:r w:rsidRPr="00A55668">
        <w:rPr>
          <w:szCs w:val="28"/>
        </w:rPr>
        <w:t>проведение капитального ремонта и приобретение оборудования в целях обеспечения односменного режима обучения в общеобразовательных организациях</w:t>
      </w:r>
      <w:r>
        <w:rPr>
          <w:szCs w:val="28"/>
        </w:rPr>
        <w:t>;</w:t>
      </w:r>
    </w:p>
    <w:p w:rsidR="001326EC" w:rsidRDefault="001326EC" w:rsidP="001326EC">
      <w:pPr>
        <w:autoSpaceDE w:val="0"/>
        <w:autoSpaceDN w:val="0"/>
        <w:ind w:left="1" w:firstLine="708"/>
        <w:jc w:val="both"/>
        <w:rPr>
          <w:szCs w:val="28"/>
        </w:rPr>
      </w:pPr>
      <w:r>
        <w:rPr>
          <w:szCs w:val="28"/>
        </w:rPr>
        <w:t>с</w:t>
      </w:r>
      <w:r w:rsidRPr="00A55668">
        <w:rPr>
          <w:szCs w:val="28"/>
        </w:rPr>
        <w:t>оздание в общеобразовательных организациях, расположенных в сельской местности, условий для занятий физической культурой и спортом</w:t>
      </w:r>
      <w:r>
        <w:rPr>
          <w:szCs w:val="28"/>
        </w:rPr>
        <w:t>.</w:t>
      </w:r>
      <w:r w:rsidRPr="00A55668">
        <w:rPr>
          <w:szCs w:val="28"/>
        </w:rPr>
        <w:t xml:space="preserve"> </w:t>
      </w:r>
    </w:p>
    <w:p w:rsidR="00BF3275" w:rsidRPr="00A55668" w:rsidRDefault="00BF3275" w:rsidP="001326EC">
      <w:pPr>
        <w:autoSpaceDE w:val="0"/>
        <w:autoSpaceDN w:val="0"/>
        <w:ind w:left="1" w:firstLine="708"/>
        <w:jc w:val="both"/>
        <w:rPr>
          <w:szCs w:val="28"/>
        </w:rPr>
      </w:pPr>
    </w:p>
    <w:p w:rsidR="00BF3275" w:rsidRPr="00461F35" w:rsidRDefault="00BF3275" w:rsidP="00BF3275">
      <w:pPr>
        <w:ind w:firstLine="709"/>
        <w:jc w:val="both"/>
        <w:rPr>
          <w:rFonts w:eastAsia="Calibri"/>
          <w:b/>
          <w:szCs w:val="28"/>
          <w:lang w:eastAsia="en-US"/>
        </w:rPr>
      </w:pPr>
      <w:r w:rsidRPr="00461F35">
        <w:rPr>
          <w:rFonts w:eastAsia="Calibri"/>
          <w:b/>
          <w:szCs w:val="28"/>
          <w:lang w:eastAsia="en-US"/>
        </w:rPr>
        <w:t>Национальный проект «Культура».</w:t>
      </w:r>
    </w:p>
    <w:p w:rsidR="00BF3275" w:rsidRPr="00CD360A" w:rsidRDefault="00CD360A" w:rsidP="00CD360A">
      <w:pPr>
        <w:ind w:firstLine="708"/>
        <w:jc w:val="both"/>
        <w:rPr>
          <w:rFonts w:eastAsia="Calibri"/>
          <w:szCs w:val="28"/>
          <w:lang w:eastAsia="en-US"/>
        </w:rPr>
      </w:pPr>
      <w:r>
        <w:rPr>
          <w:rFonts w:eastAsiaTheme="minorHAnsi"/>
          <w:szCs w:val="28"/>
          <w:lang w:eastAsia="en-US"/>
        </w:rPr>
        <w:t>На федеральном уровне с 2019 года начинается реализация</w:t>
      </w:r>
      <w:r w:rsidR="00BF3275" w:rsidRPr="00E8046B">
        <w:rPr>
          <w:rFonts w:eastAsiaTheme="minorHAnsi"/>
          <w:szCs w:val="28"/>
          <w:lang w:eastAsia="en-US"/>
        </w:rPr>
        <w:t xml:space="preserve"> национального проект</w:t>
      </w:r>
      <w:r w:rsidR="00BF3275">
        <w:rPr>
          <w:rFonts w:eastAsiaTheme="minorHAnsi"/>
          <w:szCs w:val="28"/>
          <w:lang w:eastAsia="en-US"/>
        </w:rPr>
        <w:t xml:space="preserve">а </w:t>
      </w:r>
      <w:r w:rsidR="00BF3275" w:rsidRPr="00E8046B">
        <w:rPr>
          <w:rFonts w:eastAsiaTheme="minorHAnsi"/>
          <w:szCs w:val="28"/>
          <w:lang w:eastAsia="en-US"/>
        </w:rPr>
        <w:t>«</w:t>
      </w:r>
      <w:r w:rsidR="00BF3275">
        <w:rPr>
          <w:rFonts w:eastAsiaTheme="minorHAnsi"/>
          <w:szCs w:val="28"/>
          <w:lang w:eastAsia="en-US"/>
        </w:rPr>
        <w:t>Культура</w:t>
      </w:r>
      <w:r w:rsidR="00BF3275" w:rsidRPr="00E8046B">
        <w:rPr>
          <w:rFonts w:eastAsiaTheme="minorHAnsi"/>
          <w:szCs w:val="28"/>
          <w:lang w:eastAsia="en-US"/>
        </w:rPr>
        <w:t>»</w:t>
      </w:r>
      <w:r>
        <w:rPr>
          <w:rFonts w:eastAsiaTheme="minorHAnsi"/>
          <w:szCs w:val="28"/>
          <w:lang w:eastAsia="en-US"/>
        </w:rPr>
        <w:t xml:space="preserve">. </w:t>
      </w:r>
      <w:r w:rsidR="00BF3275" w:rsidRPr="00CD360A">
        <w:rPr>
          <w:rFonts w:eastAsia="Calibri"/>
          <w:szCs w:val="28"/>
          <w:lang w:eastAsia="en-US"/>
        </w:rPr>
        <w:t xml:space="preserve">Основными целями и целевыми показателями проекта являются: </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увеличение числа посещений организац</w:t>
      </w:r>
      <w:r w:rsidR="00CD360A">
        <w:rPr>
          <w:rFonts w:eastAsia="Calibri"/>
          <w:szCs w:val="28"/>
          <w:lang w:eastAsia="en-US"/>
        </w:rPr>
        <w:t>ий культуры на 15 % к 2024 году;</w:t>
      </w:r>
      <w:r w:rsidRPr="00BF3275">
        <w:rPr>
          <w:rFonts w:eastAsia="Calibri"/>
          <w:szCs w:val="28"/>
          <w:lang w:eastAsia="en-US"/>
        </w:rPr>
        <w:t xml:space="preserve"> </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увеличение к 2024 в 5 раз числа обращений к цифровым ресурсам культуры.</w:t>
      </w:r>
    </w:p>
    <w:p w:rsidR="00BF3275" w:rsidRPr="00BF3275" w:rsidRDefault="00BF3275" w:rsidP="00BF3275">
      <w:pPr>
        <w:tabs>
          <w:tab w:val="left" w:pos="1134"/>
        </w:tabs>
        <w:ind w:firstLine="709"/>
        <w:contextualSpacing/>
        <w:jc w:val="both"/>
        <w:rPr>
          <w:rFonts w:eastAsia="Calibri"/>
          <w:szCs w:val="28"/>
          <w:lang w:eastAsia="en-US"/>
        </w:rPr>
      </w:pPr>
      <w:r w:rsidRPr="00BF3275">
        <w:rPr>
          <w:rFonts w:eastAsia="Calibri"/>
          <w:szCs w:val="28"/>
          <w:lang w:eastAsia="en-US"/>
        </w:rPr>
        <w:t>В со</w:t>
      </w:r>
      <w:r w:rsidR="00461F35">
        <w:rPr>
          <w:rFonts w:eastAsia="Calibri"/>
          <w:szCs w:val="28"/>
          <w:lang w:eastAsia="en-US"/>
        </w:rPr>
        <w:t>ответствии с проектом паспорта н</w:t>
      </w:r>
      <w:r w:rsidRPr="00BF3275">
        <w:rPr>
          <w:rFonts w:eastAsia="Calibri"/>
          <w:szCs w:val="28"/>
          <w:lang w:eastAsia="en-US"/>
        </w:rPr>
        <w:t xml:space="preserve">ационального проекта в структуру </w:t>
      </w:r>
      <w:r w:rsidR="00CD360A">
        <w:rPr>
          <w:rFonts w:eastAsia="Calibri"/>
          <w:szCs w:val="28"/>
          <w:lang w:eastAsia="en-US"/>
        </w:rPr>
        <w:t>н</w:t>
      </w:r>
      <w:r w:rsidRPr="00BF3275">
        <w:rPr>
          <w:rFonts w:eastAsia="Calibri"/>
          <w:szCs w:val="28"/>
          <w:lang w:eastAsia="en-US"/>
        </w:rPr>
        <w:t>ационального проекта</w:t>
      </w:r>
      <w:r w:rsidR="00CD360A">
        <w:rPr>
          <w:rFonts w:eastAsia="Calibri"/>
          <w:szCs w:val="28"/>
          <w:lang w:eastAsia="en-US"/>
        </w:rPr>
        <w:t xml:space="preserve"> «Культура»</w:t>
      </w:r>
      <w:r w:rsidRPr="00BF3275">
        <w:rPr>
          <w:rFonts w:eastAsia="Calibri"/>
          <w:szCs w:val="28"/>
          <w:lang w:eastAsia="en-US"/>
        </w:rPr>
        <w:t xml:space="preserve"> входят 3 федеральных проекта: </w:t>
      </w:r>
    </w:p>
    <w:p w:rsidR="00BF3275" w:rsidRPr="00CD360A" w:rsidRDefault="00CD360A" w:rsidP="00CD360A">
      <w:pPr>
        <w:spacing w:after="160" w:line="240" w:lineRule="atLeast"/>
        <w:ind w:left="360"/>
        <w:contextualSpacing/>
        <w:rPr>
          <w:rFonts w:eastAsia="Calibri"/>
          <w:szCs w:val="28"/>
          <w:lang w:eastAsia="en-US"/>
        </w:rPr>
      </w:pPr>
      <w:r w:rsidRPr="00CD360A">
        <w:rPr>
          <w:rFonts w:eastAsia="Calibri"/>
          <w:szCs w:val="28"/>
          <w:lang w:eastAsia="en-US"/>
        </w:rPr>
        <w:t xml:space="preserve">а) </w:t>
      </w:r>
      <w:r>
        <w:rPr>
          <w:rFonts w:eastAsia="Calibri"/>
          <w:szCs w:val="28"/>
          <w:lang w:eastAsia="en-US"/>
        </w:rPr>
        <w:t>«</w:t>
      </w:r>
      <w:r w:rsidRPr="00CD360A">
        <w:rPr>
          <w:rFonts w:eastAsia="Calibri"/>
          <w:szCs w:val="28"/>
          <w:lang w:eastAsia="en-US"/>
        </w:rPr>
        <w:t>К</w:t>
      </w:r>
      <w:r w:rsidR="00BF3275" w:rsidRPr="00CD360A">
        <w:rPr>
          <w:rFonts w:eastAsia="Calibri"/>
          <w:szCs w:val="28"/>
          <w:lang w:eastAsia="en-US"/>
        </w:rPr>
        <w:t>ультурная среда</w:t>
      </w:r>
      <w:r>
        <w:rPr>
          <w:rFonts w:eastAsia="Calibri"/>
          <w:szCs w:val="28"/>
          <w:lang w:eastAsia="en-US"/>
        </w:rPr>
        <w:t>»</w:t>
      </w:r>
      <w:r w:rsidRPr="00CD360A">
        <w:rPr>
          <w:rFonts w:eastAsia="Calibri"/>
          <w:szCs w:val="28"/>
          <w:lang w:eastAsia="en-US"/>
        </w:rPr>
        <w:t>.</w:t>
      </w:r>
      <w:r w:rsidR="00BF3275" w:rsidRPr="00CD360A">
        <w:rPr>
          <w:rFonts w:eastAsia="Calibri"/>
          <w:szCs w:val="28"/>
          <w:lang w:eastAsia="en-US"/>
        </w:rPr>
        <w:t xml:space="preserve"> </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Цель</w:t>
      </w:r>
      <w:r w:rsidR="00CD360A">
        <w:rPr>
          <w:rFonts w:eastAsia="Calibri"/>
          <w:szCs w:val="28"/>
          <w:lang w:eastAsia="en-US"/>
        </w:rPr>
        <w:t xml:space="preserve"> проекта</w:t>
      </w:r>
      <w:r w:rsidRPr="00BF3275">
        <w:rPr>
          <w:rFonts w:eastAsia="Calibri"/>
          <w:szCs w:val="28"/>
          <w:lang w:eastAsia="en-US"/>
        </w:rPr>
        <w:t xml:space="preserve">: Создание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В настоящее время проведен мониторинг потребности</w:t>
      </w:r>
      <w:r w:rsidR="00CD360A">
        <w:rPr>
          <w:rFonts w:eastAsia="Calibri"/>
          <w:szCs w:val="28"/>
          <w:lang w:eastAsia="en-US"/>
        </w:rPr>
        <w:t xml:space="preserve"> участия</w:t>
      </w:r>
      <w:r w:rsidRPr="00BF3275">
        <w:rPr>
          <w:rFonts w:eastAsia="Calibri"/>
          <w:szCs w:val="28"/>
          <w:lang w:eastAsia="en-US"/>
        </w:rPr>
        <w:t xml:space="preserve"> </w:t>
      </w:r>
      <w:r w:rsidR="00CD360A">
        <w:rPr>
          <w:rFonts w:eastAsia="Calibri"/>
          <w:szCs w:val="28"/>
          <w:lang w:eastAsia="en-US"/>
        </w:rPr>
        <w:t xml:space="preserve">Тверской области в реализации национального проекта, в связи с чем </w:t>
      </w:r>
      <w:r w:rsidRPr="00BF3275">
        <w:rPr>
          <w:rFonts w:eastAsia="Calibri"/>
          <w:szCs w:val="28"/>
          <w:lang w:eastAsia="en-US"/>
        </w:rPr>
        <w:t>поданы заявки в Минкультуры России, в том числе</w:t>
      </w:r>
      <w:r w:rsidR="00CD360A">
        <w:rPr>
          <w:rFonts w:eastAsia="Calibri"/>
          <w:szCs w:val="28"/>
          <w:lang w:eastAsia="en-US"/>
        </w:rPr>
        <w:t xml:space="preserve"> Тверская область планирует поучаствовать в следующих мероприятиях</w:t>
      </w:r>
      <w:r w:rsidRPr="00BF3275">
        <w:rPr>
          <w:rFonts w:eastAsia="Calibri"/>
          <w:szCs w:val="28"/>
          <w:lang w:eastAsia="en-US"/>
        </w:rPr>
        <w:t>:</w:t>
      </w:r>
    </w:p>
    <w:p w:rsidR="00BF3275" w:rsidRDefault="00BF3275" w:rsidP="00BF3275">
      <w:pPr>
        <w:autoSpaceDE w:val="0"/>
        <w:autoSpaceDN w:val="0"/>
        <w:adjustRightInd w:val="0"/>
        <w:ind w:firstLine="709"/>
        <w:jc w:val="both"/>
        <w:rPr>
          <w:rFonts w:eastAsia="Calibri"/>
          <w:szCs w:val="28"/>
          <w:lang w:eastAsia="en-US"/>
        </w:rPr>
      </w:pPr>
      <w:r w:rsidRPr="00BF3275">
        <w:rPr>
          <w:rFonts w:eastAsia="Calibri"/>
          <w:szCs w:val="28"/>
          <w:lang w:eastAsia="en-US"/>
        </w:rPr>
        <w:t xml:space="preserve">проведение комплексных мероприятий, направленных на создание и модернизацию учреждений культурно-досугового типа в сельской местности, включая обеспечение инфраструктуры (в том числе капитальный ремонт зданий). </w:t>
      </w:r>
    </w:p>
    <w:p w:rsidR="00BF3275" w:rsidRPr="00BF3275" w:rsidRDefault="00BF3275" w:rsidP="00CD360A">
      <w:pPr>
        <w:ind w:firstLine="709"/>
        <w:jc w:val="both"/>
        <w:rPr>
          <w:szCs w:val="28"/>
        </w:rPr>
      </w:pPr>
      <w:r w:rsidRPr="00BF3275">
        <w:rPr>
          <w:rFonts w:eastAsia="Calibri"/>
          <w:szCs w:val="28"/>
          <w:lang w:eastAsia="en-US"/>
        </w:rPr>
        <w:t xml:space="preserve">обеспечение инструментами, оборудованием и материалами детских школ искусств. </w:t>
      </w:r>
    </w:p>
    <w:p w:rsidR="00CD360A" w:rsidRDefault="00BF3275" w:rsidP="00BF3275">
      <w:pPr>
        <w:ind w:firstLine="709"/>
        <w:jc w:val="both"/>
        <w:rPr>
          <w:rFonts w:eastAsia="Calibri"/>
          <w:szCs w:val="28"/>
          <w:lang w:eastAsia="en-US"/>
        </w:rPr>
      </w:pPr>
      <w:r w:rsidRPr="00BF3275">
        <w:rPr>
          <w:rFonts w:eastAsia="Calibri"/>
          <w:szCs w:val="28"/>
          <w:lang w:eastAsia="en-US"/>
        </w:rPr>
        <w:t>обеспечение учреждений культуры специализированным автотранспортом для обслуживания населения, в том числе сельского населения.</w:t>
      </w:r>
      <w:r w:rsidRPr="00BF3275">
        <w:rPr>
          <w:rFonts w:eastAsia="Calibri"/>
          <w:szCs w:val="28"/>
          <w:lang w:eastAsia="en-US"/>
        </w:rPr>
        <w:tab/>
      </w:r>
      <w:r w:rsidR="00CD360A">
        <w:rPr>
          <w:rFonts w:eastAsia="Calibri"/>
          <w:szCs w:val="28"/>
          <w:lang w:eastAsia="en-US"/>
        </w:rPr>
        <w:t xml:space="preserve"> </w:t>
      </w:r>
    </w:p>
    <w:p w:rsidR="00BF3275" w:rsidRPr="00CD360A" w:rsidRDefault="00CD360A" w:rsidP="00BF3275">
      <w:pPr>
        <w:ind w:firstLine="709"/>
        <w:jc w:val="both"/>
        <w:rPr>
          <w:rFonts w:eastAsia="Calibri"/>
          <w:szCs w:val="28"/>
          <w:lang w:eastAsia="en-US"/>
        </w:rPr>
      </w:pPr>
      <w:r w:rsidRPr="00CD360A">
        <w:rPr>
          <w:rFonts w:eastAsia="Calibri"/>
          <w:szCs w:val="28"/>
          <w:lang w:eastAsia="en-US"/>
        </w:rPr>
        <w:t xml:space="preserve">б) </w:t>
      </w:r>
      <w:r w:rsidR="00BF3275" w:rsidRPr="00CD360A">
        <w:rPr>
          <w:rFonts w:eastAsia="Calibri"/>
          <w:szCs w:val="28"/>
          <w:lang w:eastAsia="en-US"/>
        </w:rPr>
        <w:t xml:space="preserve">«Творческие люди». </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lastRenderedPageBreak/>
        <w:t>Цель</w:t>
      </w:r>
      <w:r w:rsidR="00CD360A">
        <w:rPr>
          <w:rFonts w:eastAsia="Calibri"/>
          <w:szCs w:val="28"/>
          <w:lang w:eastAsia="en-US"/>
        </w:rPr>
        <w:t xml:space="preserve"> проекта</w:t>
      </w:r>
      <w:r w:rsidRPr="00BF3275">
        <w:rPr>
          <w:rFonts w:eastAsia="Calibri"/>
          <w:szCs w:val="28"/>
          <w:lang w:eastAsia="en-US"/>
        </w:rPr>
        <w:t>: Продвижение талантливой молодежи в сфере музыкального искусства, в том числе посредством создания национального молодежного симфонического оркестра</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 xml:space="preserve"> В Тверской области запланировано:</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 xml:space="preserve">ежегодное проведение не менее 17 крупных социально значимых мероприятий и проектов, в том числе фестивальных. </w:t>
      </w:r>
    </w:p>
    <w:p w:rsidR="00461F35" w:rsidRDefault="00BF3275" w:rsidP="00BF3275">
      <w:pPr>
        <w:ind w:firstLine="709"/>
        <w:jc w:val="both"/>
        <w:rPr>
          <w:rFonts w:eastAsia="Calibri"/>
          <w:szCs w:val="28"/>
          <w:lang w:eastAsia="en-US"/>
        </w:rPr>
      </w:pPr>
      <w:r w:rsidRPr="00BF3275">
        <w:rPr>
          <w:rFonts w:eastAsia="Calibri"/>
          <w:szCs w:val="28"/>
          <w:lang w:eastAsia="en-US"/>
        </w:rPr>
        <w:t xml:space="preserve">реализация целевых социальных программ (социальных проектов) в сфере культуры социально ориентированными некоммерческими организациями. </w:t>
      </w:r>
    </w:p>
    <w:p w:rsidR="00BF3275" w:rsidRPr="00461F35" w:rsidRDefault="00BF3275" w:rsidP="00BF3275">
      <w:pPr>
        <w:ind w:firstLine="709"/>
        <w:jc w:val="both"/>
        <w:rPr>
          <w:rFonts w:eastAsia="Calibri"/>
          <w:szCs w:val="28"/>
          <w:lang w:eastAsia="en-US"/>
        </w:rPr>
      </w:pPr>
      <w:r w:rsidRPr="00BF3275">
        <w:rPr>
          <w:rFonts w:eastAsia="Calibri"/>
          <w:szCs w:val="28"/>
          <w:lang w:eastAsia="en-US"/>
        </w:rPr>
        <w:t xml:space="preserve">реализация музейных, просветительских, образовательных проектов на базе Тверской областной картинной галереи в Тверском императорском дворце (не менее 300 в год), в том числе продолжение проекта «Нас пригласили во Дворец» </w:t>
      </w:r>
      <w:r w:rsidRPr="00461F35">
        <w:rPr>
          <w:rFonts w:eastAsia="Calibri"/>
          <w:szCs w:val="28"/>
          <w:lang w:eastAsia="en-US"/>
        </w:rPr>
        <w:t>(бесплатное посещение школьниками из МО Императорского Дворца).</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ежегодная гранатовая поддержка молодых дарований (122 стипендии) и работников культуры (84 премии за лучшие творческие проекты, а также лучшим работникам).</w:t>
      </w:r>
    </w:p>
    <w:p w:rsidR="00BF3275" w:rsidRPr="00BF3275" w:rsidRDefault="00BF3275" w:rsidP="00BF3275">
      <w:pPr>
        <w:ind w:firstLine="709"/>
        <w:jc w:val="both"/>
        <w:rPr>
          <w:szCs w:val="28"/>
        </w:rPr>
      </w:pPr>
      <w:r w:rsidRPr="00BF3275">
        <w:rPr>
          <w:rFonts w:eastAsia="Calibri"/>
          <w:szCs w:val="28"/>
          <w:lang w:eastAsia="en-US"/>
        </w:rPr>
        <w:t xml:space="preserve">реализация проектов, направленных на продвижение молодых дарований тверской края, в том числе проекты: </w:t>
      </w:r>
      <w:r w:rsidRPr="00BF3275">
        <w:rPr>
          <w:szCs w:val="28"/>
        </w:rPr>
        <w:t>«Презентация молодых дарований», «Участие молодых дарований тверского края в межрегиональных, всероссийских, международных конкурсах», система конкурсов (Всероссийский открытый конкурс юных скрипачей, альтистов и виолончелистов им. А.Б. Корсакова, Международный фестиваль хоровой музыки «Волжский хоровой собор», Всероссийский открытый конкурс молодых исполнителей на народных инструментах им. В.В. Андреева и др.).</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повышение квалификации и переподготовка кадров культуры – не менее 900 чел. в год.</w:t>
      </w:r>
    </w:p>
    <w:p w:rsidR="00BF3275" w:rsidRPr="00461F35" w:rsidRDefault="00461F35" w:rsidP="00BF3275">
      <w:pPr>
        <w:ind w:firstLine="709"/>
        <w:jc w:val="both"/>
        <w:rPr>
          <w:rFonts w:eastAsia="Calibri"/>
          <w:szCs w:val="28"/>
          <w:lang w:eastAsia="en-US"/>
        </w:rPr>
      </w:pPr>
      <w:r w:rsidRPr="00461F35">
        <w:rPr>
          <w:rFonts w:eastAsia="Calibri"/>
          <w:szCs w:val="28"/>
          <w:lang w:eastAsia="en-US"/>
        </w:rPr>
        <w:t xml:space="preserve">в) </w:t>
      </w:r>
      <w:r w:rsidR="00BF3275" w:rsidRPr="00461F35">
        <w:rPr>
          <w:rFonts w:eastAsia="Calibri"/>
          <w:szCs w:val="28"/>
          <w:lang w:eastAsia="en-US"/>
        </w:rPr>
        <w:t>«Цифровая культура».</w:t>
      </w:r>
    </w:p>
    <w:p w:rsidR="00BF3275" w:rsidRPr="00BF3275" w:rsidRDefault="00BF3275" w:rsidP="00BF3275">
      <w:pPr>
        <w:ind w:firstLine="709"/>
        <w:jc w:val="both"/>
        <w:rPr>
          <w:szCs w:val="28"/>
        </w:rPr>
      </w:pPr>
      <w:r w:rsidRPr="00BF3275">
        <w:rPr>
          <w:szCs w:val="28"/>
        </w:rPr>
        <w:t>Цель</w:t>
      </w:r>
      <w:r w:rsidR="00461F35">
        <w:rPr>
          <w:szCs w:val="28"/>
        </w:rPr>
        <w:t xml:space="preserve"> проекта</w:t>
      </w:r>
      <w:r w:rsidRPr="00BF3275">
        <w:rPr>
          <w:szCs w:val="28"/>
        </w:rPr>
        <w:t>: Создание виртуальных концертных залов не менее чем в 500 городах Российской Федерации</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В Тверской области запланировано:</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создание ежегодно не менее 1 виртуального концертного зала в муниципальных образованиях Тверской области (с нарастающим итогом: 22 ед. к 2024 году)</w:t>
      </w:r>
    </w:p>
    <w:p w:rsidR="00BF3275" w:rsidRPr="00BF3275" w:rsidRDefault="00BF3275" w:rsidP="00BF3275">
      <w:pPr>
        <w:ind w:firstLine="709"/>
        <w:jc w:val="both"/>
        <w:rPr>
          <w:rFonts w:eastAsia="Calibri"/>
          <w:szCs w:val="28"/>
          <w:lang w:eastAsia="en-US"/>
        </w:rPr>
      </w:pPr>
      <w:r w:rsidRPr="00BF3275">
        <w:rPr>
          <w:rFonts w:eastAsia="Calibri"/>
          <w:szCs w:val="28"/>
          <w:lang w:eastAsia="en-US"/>
        </w:rPr>
        <w:t>развитие сайтов учреждений культуры, пополнение интересными материалами, информацией о проведенных и планируемых фестивалях, выставках, культурных событиях области интернет-портала «КультураРФ».</w:t>
      </w:r>
    </w:p>
    <w:p w:rsidR="00BF3275" w:rsidRPr="00BF3275" w:rsidRDefault="00461F35" w:rsidP="00BF3275">
      <w:pPr>
        <w:ind w:firstLine="709"/>
        <w:jc w:val="both"/>
        <w:rPr>
          <w:rFonts w:eastAsia="Calibri"/>
          <w:szCs w:val="28"/>
          <w:lang w:eastAsia="en-US"/>
        </w:rPr>
      </w:pPr>
      <w:r>
        <w:rPr>
          <w:rFonts w:eastAsia="Calibri"/>
          <w:szCs w:val="28"/>
          <w:lang w:eastAsia="en-US"/>
        </w:rPr>
        <w:t>п</w:t>
      </w:r>
      <w:r w:rsidR="00BF3275" w:rsidRPr="00BF3275">
        <w:rPr>
          <w:rFonts w:eastAsia="Calibri"/>
          <w:szCs w:val="28"/>
          <w:lang w:eastAsia="en-US"/>
        </w:rPr>
        <w:t xml:space="preserve">ополнение фонда оцифрованных изданий Национальной электронной библиотеки путем оцифровки книжных памятников. </w:t>
      </w:r>
    </w:p>
    <w:p w:rsidR="00BF3275" w:rsidRPr="00DA502E" w:rsidRDefault="00BF3275" w:rsidP="00BF3275">
      <w:pPr>
        <w:ind w:firstLine="709"/>
        <w:jc w:val="both"/>
        <w:rPr>
          <w:rFonts w:eastAsia="Calibri"/>
          <w:b/>
          <w:szCs w:val="28"/>
          <w:highlight w:val="yellow"/>
          <w:lang w:eastAsia="en-US"/>
        </w:rPr>
      </w:pPr>
    </w:p>
    <w:p w:rsidR="00D1550D" w:rsidRPr="00E8046B" w:rsidRDefault="00D1550D" w:rsidP="00D1550D">
      <w:pPr>
        <w:ind w:firstLine="709"/>
        <w:jc w:val="both"/>
        <w:rPr>
          <w:rFonts w:eastAsia="Calibri"/>
          <w:b/>
          <w:szCs w:val="28"/>
          <w:lang w:eastAsia="en-US"/>
        </w:rPr>
      </w:pPr>
      <w:r w:rsidRPr="00E8046B">
        <w:rPr>
          <w:rFonts w:eastAsia="Calibri"/>
          <w:b/>
          <w:szCs w:val="28"/>
          <w:lang w:eastAsia="en-US"/>
        </w:rPr>
        <w:t>Национальный проект «Безопасные и качественные автомобильные дороги».</w:t>
      </w:r>
    </w:p>
    <w:p w:rsidR="00D1550D" w:rsidRDefault="00D1550D" w:rsidP="00D1550D">
      <w:pPr>
        <w:ind w:firstLine="709"/>
        <w:jc w:val="both"/>
        <w:rPr>
          <w:rFonts w:eastAsia="Calibri"/>
          <w:szCs w:val="28"/>
          <w:lang w:eastAsia="en-US"/>
        </w:rPr>
      </w:pPr>
      <w:r>
        <w:rPr>
          <w:rFonts w:eastAsia="Calibri"/>
          <w:szCs w:val="28"/>
          <w:lang w:eastAsia="en-US"/>
        </w:rPr>
        <w:t xml:space="preserve">В целях </w:t>
      </w:r>
      <w:r w:rsidRPr="008C05DD">
        <w:rPr>
          <w:rFonts w:eastAsia="Calibri"/>
          <w:szCs w:val="28"/>
          <w:lang w:eastAsia="en-US"/>
        </w:rPr>
        <w:t>повышения уровня жизни граждан, создания комфортных условий для их проживания</w:t>
      </w:r>
      <w:r>
        <w:rPr>
          <w:rFonts w:eastAsia="Calibri"/>
          <w:szCs w:val="28"/>
          <w:lang w:eastAsia="en-US"/>
        </w:rPr>
        <w:t xml:space="preserve"> Тверская область участвует в реализации национального проекта</w:t>
      </w:r>
      <w:r w:rsidRPr="008C05DD">
        <w:rPr>
          <w:rFonts w:eastAsia="Calibri"/>
          <w:szCs w:val="28"/>
          <w:lang w:eastAsia="en-US"/>
        </w:rPr>
        <w:t xml:space="preserve"> «Безопасные и качественные автомобильные дороги»</w:t>
      </w:r>
      <w:r>
        <w:rPr>
          <w:rFonts w:eastAsia="Calibri"/>
          <w:szCs w:val="28"/>
          <w:lang w:eastAsia="en-US"/>
        </w:rPr>
        <w:t>.</w:t>
      </w:r>
      <w:r w:rsidRPr="008C05DD">
        <w:rPr>
          <w:rFonts w:eastAsia="Calibri"/>
          <w:szCs w:val="28"/>
          <w:lang w:eastAsia="en-US"/>
        </w:rPr>
        <w:t xml:space="preserve"> </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Национальным проектом «Безопасные и качественные автомобильные дороги» предполагается к 2024 году обеспечить достижение следующих целей и целевых показателей:</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 xml:space="preserve">увеличение доли автомобильных дорог регионального значения, соответствующих нормативным требованиям, в их общей протяженности не менее </w:t>
      </w:r>
      <w:r w:rsidRPr="008C05DD">
        <w:rPr>
          <w:rFonts w:eastAsia="Calibri"/>
          <w:szCs w:val="28"/>
          <w:lang w:eastAsia="en-US"/>
        </w:rPr>
        <w:lastRenderedPageBreak/>
        <w:t xml:space="preserve">чем до 50 процентов (относительно их протяженности по состоянию на 31 декабря 2017 г.); </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доведение в крупнейших городских агломерациях доли автомобильных дорог, соответствующих нормативным требованиям, в их общей протяженности до 85 процентов;</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снижение доли автомобильных дорог федерального и регионального значения, работающих в режиме перегрузки, в их общей протяженности на 10 процентов по сравнению с 2017 годом;</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снижение количества мест концентрации дорожно-транспортных происшествий (аварийно-опасных участков) на дорожной сети в два раза по сравнению с 2017 годом;</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снижение смертности в результате дорожно-транспортных происшествий в 3,5 раза по сравнению с 2017 годом (к 2030 году - стремление к нулевому уровню смертности).</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В соответствии с паспортом национального проекта «Безопасные и качественные автомобильные дороги» в настоящее время органами исполнительной власти субъектов Российской Федерации совместно с Федеральным дорожным агентством определяются участки дорожной сети федерального, регионального или межмуниципального, местного значения, которые должны быть приведены в нормативное состояние.</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Протяженность автомобильных дорог общего пользования:</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 xml:space="preserve">регионального и межмуниципального значения Тверской области составляет 15 347,977 км; </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местного значения города Твери 598,2 км.</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Согласно информации территориального органа Федеральной службы государственной статистики по Тверской области по состоянию на 31 декабря 2017 года доля протяженности автомобильных дорог регионального и межмуниципального значения, не отвечающих нормативным требованиям, от общей протяженности дорог общего пользования регионального и межмуниципального значения Тверской области составляет 74,3 % (порядка 11 400 км), доля протяженности автомобильных дорог (улиц) городской агломерации Муниципального образования «Город Тверь», не отвечающих нормативным требованиям, от общей протяженности дорог (улиц) составляет 57 % (порядка 341 км).</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Таким образом, реализация мероприятий национального проекта «Безопасные и качественные автомобильные дороги» позволит дополнительно привести в соответствие с нормативными требованиями к 2024 году не менее 37 00 км (24,3 %) автомобильных регионального и межмуниципального значения Тверской области, а также не менее 251,244 км (42 %) автомобильных дорог (улиц) городской агломерации Муниципального образования «Город Тверь».</w:t>
      </w:r>
    </w:p>
    <w:p w:rsidR="00D1550D" w:rsidRPr="008C05DD" w:rsidRDefault="00D1550D" w:rsidP="00D1550D">
      <w:pPr>
        <w:ind w:firstLine="709"/>
        <w:jc w:val="both"/>
        <w:rPr>
          <w:rFonts w:eastAsia="Calibri"/>
          <w:szCs w:val="28"/>
          <w:lang w:eastAsia="en-US"/>
        </w:rPr>
      </w:pPr>
      <w:r w:rsidRPr="008C05DD">
        <w:rPr>
          <w:rFonts w:eastAsia="Calibri"/>
          <w:szCs w:val="28"/>
          <w:lang w:eastAsia="en-US"/>
        </w:rPr>
        <w:t xml:space="preserve">Правила распределения и предоставления иных межбюджетных трансфертов субъектам Российской Федерации на реализацию национального проекта на уровне Правительства Российской Федерации планируется утвердить в октябре 2018 года. </w:t>
      </w:r>
    </w:p>
    <w:p w:rsidR="00BF3275" w:rsidRDefault="00BF3275" w:rsidP="00BF3275">
      <w:pPr>
        <w:ind w:firstLine="709"/>
        <w:jc w:val="both"/>
        <w:rPr>
          <w:rFonts w:eastAsia="Calibri"/>
          <w:b/>
          <w:szCs w:val="28"/>
          <w:highlight w:val="yellow"/>
          <w:lang w:eastAsia="en-US"/>
        </w:rPr>
      </w:pPr>
    </w:p>
    <w:p w:rsidR="00DA502E" w:rsidRPr="00C62B9B" w:rsidRDefault="00DA502E" w:rsidP="00DA502E">
      <w:pPr>
        <w:ind w:firstLine="709"/>
        <w:jc w:val="both"/>
        <w:rPr>
          <w:rFonts w:eastAsia="Calibri"/>
          <w:b/>
          <w:szCs w:val="28"/>
          <w:lang w:eastAsia="en-US"/>
        </w:rPr>
      </w:pPr>
      <w:r w:rsidRPr="00C62B9B">
        <w:rPr>
          <w:rFonts w:eastAsia="Calibri"/>
          <w:b/>
          <w:szCs w:val="28"/>
          <w:lang w:eastAsia="en-US"/>
        </w:rPr>
        <w:t>Национальный проект «Жилье и городская среда».</w:t>
      </w:r>
    </w:p>
    <w:p w:rsidR="00CD4B85" w:rsidRPr="00CD4B85" w:rsidRDefault="00CD4B85" w:rsidP="00CD4B85">
      <w:pPr>
        <w:autoSpaceDE w:val="0"/>
        <w:autoSpaceDN w:val="0"/>
        <w:ind w:firstLine="709"/>
        <w:jc w:val="both"/>
      </w:pPr>
      <w:r w:rsidRPr="00CD4B85">
        <w:t>Основными направлениями реализации национального проекта «Жилье и городская среда» в предстоящем периоде будут</w:t>
      </w:r>
      <w:r>
        <w:t xml:space="preserve"> являться</w:t>
      </w:r>
      <w:r w:rsidRPr="00CD4B85">
        <w:t>:</w:t>
      </w:r>
    </w:p>
    <w:p w:rsidR="00CD4B85" w:rsidRPr="00CD4B85" w:rsidRDefault="00CD4B85" w:rsidP="00CD4B85">
      <w:pPr>
        <w:autoSpaceDE w:val="0"/>
        <w:autoSpaceDN w:val="0"/>
        <w:ind w:left="720"/>
        <w:jc w:val="both"/>
      </w:pPr>
      <w:r>
        <w:lastRenderedPageBreak/>
        <w:t>ф</w:t>
      </w:r>
      <w:r w:rsidRPr="00CD4B85">
        <w:t>ормирование комфортной городской среды</w:t>
      </w:r>
      <w:r>
        <w:t>;</w:t>
      </w:r>
      <w:r w:rsidRPr="00CD4B85">
        <w:t xml:space="preserve"> </w:t>
      </w:r>
    </w:p>
    <w:p w:rsidR="00CD4B85" w:rsidRPr="00CD4B85" w:rsidRDefault="00CD4B85" w:rsidP="00CD4B85">
      <w:pPr>
        <w:autoSpaceDE w:val="0"/>
        <w:autoSpaceDN w:val="0"/>
        <w:ind w:left="720"/>
        <w:jc w:val="both"/>
      </w:pPr>
      <w:r>
        <w:t>о</w:t>
      </w:r>
      <w:r w:rsidRPr="00CD4B85">
        <w:t>беспечение устойчивого сокращения непригодного для проживания жилищного фонда</w:t>
      </w:r>
      <w:r>
        <w:t>.</w:t>
      </w:r>
      <w:r w:rsidRPr="00CD4B85">
        <w:t xml:space="preserve"> </w:t>
      </w:r>
    </w:p>
    <w:p w:rsidR="00CD4B85" w:rsidRPr="00CD4B85" w:rsidRDefault="00CD4B85" w:rsidP="00CD4B85">
      <w:pPr>
        <w:autoSpaceDE w:val="0"/>
        <w:autoSpaceDN w:val="0"/>
        <w:jc w:val="both"/>
      </w:pPr>
      <w:r w:rsidRPr="00CD4B85">
        <w:tab/>
        <w:t>В рамках национального проекта «Жилье и городская среда» будет оказана поддержка муниципальным образованиям Тверской области на реализацию муниципальных программ формирования современной городской среды, а также продолжится реализация мероприятий по переселению граждан из аварийного жилищного фонда.</w:t>
      </w:r>
    </w:p>
    <w:p w:rsidR="00CD4B85" w:rsidRPr="00CD4B85" w:rsidRDefault="00CD4B85" w:rsidP="00CD4B85"/>
    <w:p w:rsidR="00DA502E" w:rsidRPr="00DA502E" w:rsidRDefault="00DA502E" w:rsidP="00DA502E">
      <w:pPr>
        <w:ind w:firstLine="709"/>
        <w:jc w:val="both"/>
        <w:rPr>
          <w:rFonts w:eastAsia="Calibri"/>
          <w:b/>
          <w:szCs w:val="28"/>
          <w:lang w:eastAsia="en-US"/>
        </w:rPr>
      </w:pPr>
    </w:p>
    <w:p w:rsidR="00FD6914" w:rsidRPr="006B18D3" w:rsidRDefault="006B18D3" w:rsidP="00685779">
      <w:pPr>
        <w:tabs>
          <w:tab w:val="num" w:pos="993"/>
        </w:tabs>
        <w:ind w:firstLine="709"/>
        <w:jc w:val="both"/>
        <w:rPr>
          <w:rFonts w:eastAsia="Calibri"/>
          <w:b/>
          <w:szCs w:val="28"/>
          <w:lang w:eastAsia="en-US"/>
        </w:rPr>
      </w:pPr>
      <w:r w:rsidRPr="006B18D3">
        <w:rPr>
          <w:rFonts w:eastAsia="Calibri"/>
          <w:b/>
          <w:szCs w:val="28"/>
          <w:lang w:eastAsia="en-US"/>
        </w:rPr>
        <w:t>Национальный проект «Демография»</w:t>
      </w:r>
      <w:r>
        <w:rPr>
          <w:rFonts w:eastAsia="Calibri"/>
          <w:b/>
          <w:szCs w:val="28"/>
          <w:lang w:eastAsia="en-US"/>
        </w:rPr>
        <w:t>.</w:t>
      </w:r>
    </w:p>
    <w:p w:rsidR="006B18D3" w:rsidRPr="006B18D3" w:rsidRDefault="006B18D3" w:rsidP="006B18D3">
      <w:pPr>
        <w:ind w:firstLine="709"/>
        <w:jc w:val="both"/>
        <w:rPr>
          <w:rFonts w:eastAsia="Arial Unicode MS"/>
          <w:bCs/>
          <w:szCs w:val="28"/>
          <w:u w:color="000000"/>
          <w:lang w:eastAsia="en-US"/>
        </w:rPr>
      </w:pPr>
      <w:r w:rsidRPr="006B18D3">
        <w:rPr>
          <w:rFonts w:eastAsia="Calibri"/>
          <w:szCs w:val="28"/>
          <w:lang w:eastAsia="en-US"/>
        </w:rPr>
        <w:t xml:space="preserve">Основными целевыми показателями </w:t>
      </w:r>
      <w:r>
        <w:rPr>
          <w:rFonts w:eastAsia="Calibri"/>
          <w:szCs w:val="28"/>
          <w:lang w:eastAsia="en-US"/>
        </w:rPr>
        <w:t>регионального национального проекта «Демография»</w:t>
      </w:r>
      <w:r w:rsidRPr="006B18D3">
        <w:rPr>
          <w:rFonts w:eastAsia="Calibri"/>
          <w:szCs w:val="28"/>
          <w:lang w:eastAsia="en-US"/>
        </w:rPr>
        <w:t xml:space="preserve"> является достижение </w:t>
      </w:r>
      <w:r w:rsidRPr="006B18D3">
        <w:rPr>
          <w:rFonts w:eastAsia="Arial Unicode MS"/>
          <w:bCs/>
          <w:szCs w:val="28"/>
          <w:u w:color="000000"/>
          <w:lang w:eastAsia="en-US"/>
        </w:rPr>
        <w:t>к 2024 году</w:t>
      </w:r>
      <w:r w:rsidR="00D1550D">
        <w:rPr>
          <w:rFonts w:eastAsia="Arial Unicode MS"/>
          <w:bCs/>
          <w:szCs w:val="28"/>
          <w:u w:color="000000"/>
          <w:lang w:eastAsia="en-US"/>
        </w:rPr>
        <w:t xml:space="preserve"> следующих показателей</w:t>
      </w:r>
      <w:r w:rsidRPr="006B18D3">
        <w:rPr>
          <w:rFonts w:eastAsia="Arial Unicode MS"/>
          <w:bCs/>
          <w:szCs w:val="28"/>
          <w:u w:color="000000"/>
          <w:lang w:eastAsia="en-US"/>
        </w:rPr>
        <w:t>:</w:t>
      </w:r>
    </w:p>
    <w:p w:rsidR="00524364" w:rsidRPr="00524364" w:rsidRDefault="00524364" w:rsidP="00524364">
      <w:pPr>
        <w:ind w:firstLine="709"/>
        <w:jc w:val="both"/>
        <w:rPr>
          <w:rFonts w:eastAsia="Arial Unicode MS"/>
          <w:bCs/>
          <w:szCs w:val="28"/>
          <w:u w:color="000000"/>
          <w:lang w:eastAsia="en-US"/>
        </w:rPr>
      </w:pPr>
      <w:r w:rsidRPr="00524364">
        <w:rPr>
          <w:rFonts w:eastAsia="Arial Unicode MS"/>
          <w:bCs/>
          <w:szCs w:val="28"/>
          <w:u w:color="000000"/>
          <w:lang w:eastAsia="en-US"/>
        </w:rPr>
        <w:t>снижение смертности населения старше трудоспособного возраста (на 100 тысяч населения) до 36,1;</w:t>
      </w:r>
    </w:p>
    <w:p w:rsidR="00524364" w:rsidRPr="00524364" w:rsidRDefault="00524364" w:rsidP="00524364">
      <w:pPr>
        <w:ind w:firstLine="709"/>
        <w:jc w:val="both"/>
        <w:rPr>
          <w:rFonts w:eastAsia="Arial Unicode MS"/>
          <w:bCs/>
          <w:szCs w:val="28"/>
          <w:u w:color="000000"/>
          <w:lang w:eastAsia="en-US"/>
        </w:rPr>
      </w:pPr>
      <w:r w:rsidRPr="00524364">
        <w:rPr>
          <w:rFonts w:eastAsia="Arial Unicode MS"/>
          <w:bCs/>
          <w:szCs w:val="28"/>
          <w:u w:color="000000"/>
          <w:lang w:eastAsia="en-US"/>
        </w:rPr>
        <w:t>увеличение суммарного коэффициента рождаемости до 1,7 детей на 1 женщину;</w:t>
      </w:r>
    </w:p>
    <w:p w:rsidR="00524364" w:rsidRPr="00524364" w:rsidRDefault="00524364" w:rsidP="00524364">
      <w:pPr>
        <w:ind w:firstLine="709"/>
        <w:jc w:val="both"/>
        <w:rPr>
          <w:rFonts w:eastAsia="Arial Unicode MS"/>
          <w:szCs w:val="28"/>
          <w:u w:color="000000"/>
          <w:lang w:eastAsia="en-US"/>
        </w:rPr>
      </w:pPr>
      <w:r w:rsidRPr="00524364">
        <w:rPr>
          <w:rFonts w:eastAsia="Arial Unicode MS"/>
          <w:szCs w:val="28"/>
          <w:u w:color="000000"/>
          <w:lang w:eastAsia="en-US"/>
        </w:rPr>
        <w:t xml:space="preserve">снижение числа больных с диагнозом, установленным впервые в жизни, на 1000 населения </w:t>
      </w:r>
      <w:r>
        <w:rPr>
          <w:rFonts w:eastAsia="Arial Unicode MS"/>
          <w:szCs w:val="28"/>
          <w:u w:color="000000"/>
          <w:lang w:eastAsia="en-US"/>
        </w:rPr>
        <w:t>д</w:t>
      </w:r>
      <w:r w:rsidRPr="00524364">
        <w:rPr>
          <w:rFonts w:eastAsia="Arial Unicode MS"/>
          <w:szCs w:val="28"/>
          <w:u w:color="000000"/>
          <w:lang w:eastAsia="en-US"/>
        </w:rPr>
        <w:t>о 58,6;</w:t>
      </w:r>
    </w:p>
    <w:p w:rsidR="00524364" w:rsidRPr="00524364" w:rsidRDefault="00524364" w:rsidP="00524364">
      <w:pPr>
        <w:ind w:firstLine="709"/>
        <w:jc w:val="both"/>
        <w:rPr>
          <w:rFonts w:eastAsia="Arial Unicode MS"/>
          <w:szCs w:val="28"/>
          <w:u w:color="000000"/>
          <w:lang w:eastAsia="en-US"/>
        </w:rPr>
      </w:pPr>
      <w:r w:rsidRPr="00524364">
        <w:rPr>
          <w:rFonts w:eastAsia="Arial Unicode MS"/>
          <w:szCs w:val="28"/>
          <w:u w:color="000000"/>
          <w:lang w:eastAsia="en-US"/>
        </w:rPr>
        <w:t xml:space="preserve">доля взрослых граждан из числа осмотренных, у которых в ходе диспансеризации установлена </w:t>
      </w:r>
      <w:r w:rsidRPr="00524364">
        <w:rPr>
          <w:rFonts w:eastAsia="Arial Unicode MS"/>
          <w:szCs w:val="28"/>
          <w:u w:color="000000"/>
          <w:lang w:val="en-US" w:eastAsia="en-US"/>
        </w:rPr>
        <w:t>I</w:t>
      </w:r>
      <w:r w:rsidRPr="00524364">
        <w:rPr>
          <w:rFonts w:eastAsia="Arial Unicode MS"/>
          <w:szCs w:val="28"/>
          <w:u w:color="000000"/>
          <w:lang w:eastAsia="en-US"/>
        </w:rPr>
        <w:t xml:space="preserve"> и </w:t>
      </w:r>
      <w:r w:rsidRPr="00524364">
        <w:rPr>
          <w:rFonts w:eastAsia="Arial Unicode MS"/>
          <w:szCs w:val="28"/>
          <w:u w:color="000000"/>
          <w:lang w:val="en-US" w:eastAsia="en-US"/>
        </w:rPr>
        <w:t>II</w:t>
      </w:r>
      <w:r w:rsidRPr="00524364">
        <w:rPr>
          <w:rFonts w:eastAsia="Arial Unicode MS"/>
          <w:szCs w:val="28"/>
          <w:u w:color="000000"/>
          <w:lang w:eastAsia="en-US"/>
        </w:rPr>
        <w:t xml:space="preserve"> группы здоровья до 44,3;</w:t>
      </w:r>
    </w:p>
    <w:p w:rsidR="00524364" w:rsidRPr="00524364" w:rsidRDefault="00524364" w:rsidP="00524364">
      <w:pPr>
        <w:ind w:firstLine="709"/>
        <w:jc w:val="both"/>
        <w:rPr>
          <w:rFonts w:eastAsia="Arial Unicode MS"/>
          <w:szCs w:val="28"/>
          <w:u w:color="000000"/>
          <w:lang w:eastAsia="en-US"/>
        </w:rPr>
      </w:pPr>
      <w:r w:rsidRPr="00524364">
        <w:rPr>
          <w:rFonts w:eastAsia="Arial Unicode MS"/>
          <w:szCs w:val="28"/>
          <w:u w:color="000000"/>
          <w:lang w:eastAsia="en-US"/>
        </w:rPr>
        <w:t>д</w:t>
      </w:r>
      <w:r w:rsidRPr="00524364">
        <w:rPr>
          <w:rFonts w:eastAsia="Calibri"/>
          <w:szCs w:val="28"/>
          <w:lang w:eastAsia="en-US"/>
        </w:rPr>
        <w:t xml:space="preserve">оля граждан, систематически занимающихся физической культурой и спортом на территории Тверской области (%) </w:t>
      </w:r>
      <w:r w:rsidRPr="00524364">
        <w:rPr>
          <w:rFonts w:eastAsia="Arial Unicode MS"/>
          <w:szCs w:val="28"/>
          <w:u w:color="000000"/>
          <w:lang w:eastAsia="en-US"/>
        </w:rPr>
        <w:t>до 42,45;</w:t>
      </w:r>
    </w:p>
    <w:p w:rsidR="00524364" w:rsidRPr="00524364" w:rsidRDefault="00524364" w:rsidP="00524364">
      <w:pPr>
        <w:ind w:firstLine="709"/>
        <w:jc w:val="both"/>
        <w:rPr>
          <w:rFonts w:eastAsia="Arial Unicode MS"/>
          <w:szCs w:val="28"/>
          <w:u w:color="000000"/>
          <w:lang w:eastAsia="en-US"/>
        </w:rPr>
      </w:pPr>
      <w:r>
        <w:rPr>
          <w:rFonts w:eastAsia="Arial Unicode MS"/>
          <w:szCs w:val="28"/>
          <w:u w:color="000000"/>
          <w:lang w:eastAsia="en-US"/>
        </w:rPr>
        <w:t xml:space="preserve">доля </w:t>
      </w:r>
      <w:r w:rsidRPr="00524364">
        <w:rPr>
          <w:rFonts w:eastAsia="Calibri"/>
          <w:szCs w:val="28"/>
          <w:lang w:eastAsia="en-US"/>
        </w:rPr>
        <w:t>детей и молодежи, систематически занимающихся физической культурой и спортом, в общей численности</w:t>
      </w:r>
      <w:r w:rsidRPr="00524364">
        <w:rPr>
          <w:rFonts w:ascii="Calibri" w:eastAsia="Calibri" w:hAnsi="Calibri"/>
          <w:sz w:val="22"/>
          <w:szCs w:val="28"/>
          <w:lang w:eastAsia="en-US"/>
        </w:rPr>
        <w:t xml:space="preserve"> </w:t>
      </w:r>
      <w:r w:rsidRPr="00524364">
        <w:rPr>
          <w:rFonts w:eastAsia="Calibri"/>
          <w:szCs w:val="28"/>
          <w:lang w:eastAsia="en-US"/>
        </w:rPr>
        <w:t>детей и молодежи</w:t>
      </w:r>
      <w:r w:rsidRPr="00524364">
        <w:rPr>
          <w:rFonts w:ascii="Calibri" w:eastAsia="Calibri" w:hAnsi="Calibri"/>
          <w:sz w:val="22"/>
          <w:szCs w:val="28"/>
          <w:lang w:eastAsia="en-US"/>
        </w:rPr>
        <w:t xml:space="preserve"> </w:t>
      </w:r>
      <w:r w:rsidRPr="00524364">
        <w:rPr>
          <w:rFonts w:eastAsia="Arial Unicode MS"/>
          <w:szCs w:val="28"/>
          <w:u w:color="000000"/>
          <w:lang w:eastAsia="en-US"/>
        </w:rPr>
        <w:t>до 82,66;</w:t>
      </w:r>
    </w:p>
    <w:p w:rsidR="00524364" w:rsidRPr="00524364" w:rsidRDefault="00D1550D" w:rsidP="00524364">
      <w:pPr>
        <w:rPr>
          <w:rFonts w:eastAsia="Calibri"/>
          <w:szCs w:val="28"/>
          <w:lang w:eastAsia="en-US"/>
        </w:rPr>
      </w:pPr>
      <w:r>
        <w:rPr>
          <w:rFonts w:eastAsia="Arial Unicode MS"/>
          <w:bCs/>
          <w:szCs w:val="28"/>
          <w:u w:color="000000"/>
          <w:lang w:eastAsia="en-US"/>
        </w:rPr>
        <w:t xml:space="preserve">          </w:t>
      </w:r>
      <w:r w:rsidR="00524364" w:rsidRPr="00524364">
        <w:rPr>
          <w:rFonts w:eastAsia="Arial Unicode MS"/>
          <w:szCs w:val="28"/>
          <w:u w:color="000000"/>
          <w:lang w:eastAsia="en-US"/>
        </w:rPr>
        <w:t>д</w:t>
      </w:r>
      <w:r w:rsidR="00524364" w:rsidRPr="00524364">
        <w:rPr>
          <w:rFonts w:eastAsia="Calibri"/>
          <w:szCs w:val="28"/>
          <w:lang w:eastAsia="en-US"/>
        </w:rPr>
        <w:t xml:space="preserve">оля граждан среднего возраста, систематически занимающихся физической культурой и спортом, в общей численности граждан </w:t>
      </w:r>
      <w:r w:rsidR="00524364" w:rsidRPr="00524364">
        <w:rPr>
          <w:rFonts w:eastAsia="Calibri"/>
          <w:b/>
          <w:szCs w:val="28"/>
          <w:lang w:eastAsia="en-US"/>
        </w:rPr>
        <w:t>среднего в</w:t>
      </w:r>
      <w:r w:rsidR="00524364" w:rsidRPr="00524364">
        <w:rPr>
          <w:rFonts w:eastAsia="Calibri"/>
          <w:szCs w:val="28"/>
          <w:lang w:eastAsia="en-US"/>
        </w:rPr>
        <w:t>озраста</w:t>
      </w:r>
      <w:r w:rsidR="00524364" w:rsidRPr="00524364">
        <w:rPr>
          <w:rFonts w:ascii="Calibri" w:eastAsia="Calibri" w:hAnsi="Calibri"/>
          <w:sz w:val="22"/>
          <w:szCs w:val="28"/>
          <w:lang w:eastAsia="en-US"/>
        </w:rPr>
        <w:t xml:space="preserve"> (%)</w:t>
      </w:r>
      <w:r w:rsidR="00524364" w:rsidRPr="00524364">
        <w:rPr>
          <w:rFonts w:eastAsia="Calibri"/>
          <w:szCs w:val="28"/>
          <w:lang w:eastAsia="en-US"/>
        </w:rPr>
        <w:t>до 36,16;</w:t>
      </w:r>
    </w:p>
    <w:p w:rsidR="00524364" w:rsidRPr="00524364" w:rsidRDefault="00524364" w:rsidP="00524364">
      <w:pPr>
        <w:jc w:val="both"/>
        <w:rPr>
          <w:rFonts w:eastAsia="Calibri"/>
          <w:szCs w:val="28"/>
          <w:lang w:eastAsia="en-US"/>
        </w:rPr>
      </w:pPr>
      <w:r w:rsidRPr="00524364">
        <w:rPr>
          <w:rFonts w:eastAsia="Arial Unicode MS"/>
          <w:bCs/>
          <w:szCs w:val="28"/>
          <w:u w:color="000000"/>
          <w:lang w:eastAsia="en-US"/>
        </w:rPr>
        <w:t xml:space="preserve">          </w:t>
      </w:r>
      <w:r w:rsidRPr="00524364">
        <w:rPr>
          <w:rFonts w:eastAsia="Calibri"/>
          <w:szCs w:val="28"/>
          <w:lang w:eastAsia="en-US"/>
        </w:rPr>
        <w:t xml:space="preserve">доля граждан старшего возраста, систематически занимающихся физической культурой и спортом в общей численности граждан </w:t>
      </w:r>
      <w:r w:rsidRPr="00524364">
        <w:rPr>
          <w:rFonts w:eastAsia="Calibri"/>
          <w:b/>
          <w:szCs w:val="28"/>
          <w:lang w:eastAsia="en-US"/>
        </w:rPr>
        <w:t>старшег</w:t>
      </w:r>
      <w:r w:rsidRPr="00524364">
        <w:rPr>
          <w:rFonts w:eastAsia="Calibri"/>
          <w:szCs w:val="28"/>
          <w:lang w:eastAsia="en-US"/>
        </w:rPr>
        <w:t>о возраста до 14,48;</w:t>
      </w:r>
    </w:p>
    <w:p w:rsidR="00524364" w:rsidRPr="00524364" w:rsidRDefault="00524364" w:rsidP="00524364">
      <w:pPr>
        <w:jc w:val="both"/>
        <w:rPr>
          <w:rFonts w:eastAsia="Calibri"/>
          <w:szCs w:val="28"/>
          <w:lang w:eastAsia="en-US"/>
        </w:rPr>
      </w:pPr>
      <w:r w:rsidRPr="00524364">
        <w:rPr>
          <w:rFonts w:eastAsia="Calibri"/>
          <w:szCs w:val="28"/>
          <w:lang w:eastAsia="en-US"/>
        </w:rPr>
        <w:t xml:space="preserve">          уровень обеспеченности граждан спортивными сооружениями исходя из единовременной пропускной способности объектов спорта до 65;</w:t>
      </w:r>
    </w:p>
    <w:p w:rsidR="00524364" w:rsidRPr="00524364" w:rsidRDefault="00524364" w:rsidP="00524364">
      <w:pPr>
        <w:jc w:val="both"/>
        <w:rPr>
          <w:szCs w:val="28"/>
        </w:rPr>
      </w:pPr>
      <w:r w:rsidRPr="00524364">
        <w:rPr>
          <w:rFonts w:eastAsia="Arial Unicode MS"/>
          <w:bCs/>
          <w:szCs w:val="28"/>
          <w:u w:color="000000"/>
        </w:rPr>
        <w:t xml:space="preserve">          </w:t>
      </w:r>
      <w:r w:rsidRPr="00524364">
        <w:rPr>
          <w:szCs w:val="28"/>
        </w:rPr>
        <w:t>д</w:t>
      </w:r>
      <w:r w:rsidRPr="00524364">
        <w:rPr>
          <w:rFonts w:eastAsia="Calibri"/>
          <w:szCs w:val="28"/>
        </w:rPr>
        <w:t>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74,2.</w:t>
      </w:r>
    </w:p>
    <w:p w:rsidR="006B18D3" w:rsidRPr="006B18D3" w:rsidRDefault="006B18D3" w:rsidP="006B18D3">
      <w:pPr>
        <w:ind w:firstLine="709"/>
        <w:jc w:val="both"/>
        <w:rPr>
          <w:rFonts w:eastAsia="Arial Unicode MS"/>
          <w:bCs/>
          <w:szCs w:val="28"/>
          <w:u w:color="000000"/>
          <w:lang w:eastAsia="en-US"/>
        </w:rPr>
      </w:pPr>
      <w:r w:rsidRPr="006B18D3">
        <w:rPr>
          <w:rFonts w:eastAsia="Arial Unicode MS"/>
          <w:bCs/>
          <w:szCs w:val="28"/>
          <w:u w:color="000000"/>
          <w:lang w:eastAsia="en-US"/>
        </w:rPr>
        <w:t>В региональн</w:t>
      </w:r>
      <w:r>
        <w:rPr>
          <w:rFonts w:eastAsia="Arial Unicode MS"/>
          <w:bCs/>
          <w:szCs w:val="28"/>
          <w:u w:color="000000"/>
          <w:lang w:eastAsia="en-US"/>
        </w:rPr>
        <w:t>ый</w:t>
      </w:r>
      <w:r w:rsidRPr="006B18D3">
        <w:rPr>
          <w:rFonts w:eastAsia="Arial Unicode MS"/>
          <w:bCs/>
          <w:szCs w:val="28"/>
          <w:u w:color="000000"/>
          <w:lang w:eastAsia="en-US"/>
        </w:rPr>
        <w:t xml:space="preserve"> национальн</w:t>
      </w:r>
      <w:r>
        <w:rPr>
          <w:rFonts w:eastAsia="Arial Unicode MS"/>
          <w:bCs/>
          <w:szCs w:val="28"/>
          <w:u w:color="000000"/>
          <w:lang w:eastAsia="en-US"/>
        </w:rPr>
        <w:t>ый</w:t>
      </w:r>
      <w:r w:rsidRPr="006B18D3">
        <w:rPr>
          <w:rFonts w:eastAsia="Arial Unicode MS"/>
          <w:bCs/>
          <w:szCs w:val="28"/>
          <w:u w:color="000000"/>
          <w:lang w:eastAsia="en-US"/>
        </w:rPr>
        <w:t xml:space="preserve"> проект «Демография</w:t>
      </w:r>
      <w:r>
        <w:rPr>
          <w:rFonts w:eastAsia="Arial Unicode MS"/>
          <w:bCs/>
          <w:szCs w:val="28"/>
          <w:u w:color="000000"/>
          <w:lang w:eastAsia="en-US"/>
        </w:rPr>
        <w:t>»</w:t>
      </w:r>
      <w:r w:rsidRPr="006B18D3">
        <w:rPr>
          <w:rFonts w:eastAsia="Arial Unicode MS"/>
          <w:bCs/>
          <w:szCs w:val="28"/>
          <w:u w:color="000000"/>
          <w:lang w:eastAsia="en-US"/>
        </w:rPr>
        <w:t xml:space="preserve"> входят 5 подпроектов:</w:t>
      </w:r>
    </w:p>
    <w:p w:rsidR="006B18D3" w:rsidRPr="00D1550D" w:rsidRDefault="006B18D3" w:rsidP="006B18D3">
      <w:pPr>
        <w:ind w:firstLine="709"/>
        <w:jc w:val="both"/>
        <w:rPr>
          <w:rFonts w:eastAsia="Calibri"/>
          <w:szCs w:val="28"/>
          <w:lang w:eastAsia="en-US"/>
        </w:rPr>
      </w:pPr>
      <w:r>
        <w:rPr>
          <w:rFonts w:eastAsia="Calibri"/>
          <w:szCs w:val="28"/>
          <w:lang w:eastAsia="en-US"/>
        </w:rPr>
        <w:t>ф</w:t>
      </w:r>
      <w:r w:rsidRPr="006B18D3">
        <w:rPr>
          <w:rFonts w:eastAsia="Calibri"/>
          <w:szCs w:val="28"/>
          <w:lang w:eastAsia="en-US"/>
        </w:rPr>
        <w:t xml:space="preserve">инансовая поддержка семей при рождении детей </w:t>
      </w:r>
      <w:r w:rsidRPr="00D1550D">
        <w:rPr>
          <w:rFonts w:eastAsia="Calibri"/>
          <w:szCs w:val="28"/>
          <w:lang w:eastAsia="en-US"/>
        </w:rPr>
        <w:t>(</w:t>
      </w:r>
      <w:r w:rsidR="00D1550D">
        <w:rPr>
          <w:rFonts w:eastAsia="Calibri"/>
          <w:szCs w:val="28"/>
          <w:lang w:eastAsia="en-US"/>
        </w:rPr>
        <w:t>ф</w:t>
      </w:r>
      <w:r w:rsidRPr="00D1550D">
        <w:rPr>
          <w:rFonts w:eastAsia="Calibri"/>
          <w:szCs w:val="28"/>
          <w:lang w:eastAsia="en-US"/>
        </w:rPr>
        <w:t>инансовая поддержка семей при рождении детей);</w:t>
      </w:r>
    </w:p>
    <w:p w:rsidR="006B18D3" w:rsidRPr="00D1550D" w:rsidRDefault="006B18D3" w:rsidP="006B18D3">
      <w:pPr>
        <w:ind w:firstLine="709"/>
        <w:jc w:val="both"/>
        <w:rPr>
          <w:rFonts w:eastAsia="Calibri"/>
          <w:szCs w:val="28"/>
          <w:lang w:eastAsia="en-US"/>
        </w:rPr>
      </w:pPr>
      <w:r>
        <w:rPr>
          <w:rFonts w:eastAsia="Calibri"/>
          <w:szCs w:val="28"/>
          <w:lang w:eastAsia="en-US"/>
        </w:rPr>
        <w:t>с</w:t>
      </w:r>
      <w:r w:rsidRPr="006B18D3">
        <w:rPr>
          <w:rFonts w:eastAsia="Calibri"/>
          <w:szCs w:val="28"/>
          <w:lang w:eastAsia="en-US"/>
        </w:rPr>
        <w:t xml:space="preserve">оздание условий для осуществления трудовой деятельности женщин с детьми, включая -ликвидацию очереди в ясли для детей до трех лет </w:t>
      </w:r>
      <w:r w:rsidRPr="00D1550D">
        <w:rPr>
          <w:rFonts w:eastAsia="Calibri"/>
          <w:szCs w:val="28"/>
          <w:lang w:eastAsia="en-US"/>
        </w:rPr>
        <w:t>(</w:t>
      </w:r>
      <w:r w:rsidR="00D1550D">
        <w:rPr>
          <w:rFonts w:eastAsia="Calibri"/>
          <w:szCs w:val="28"/>
          <w:lang w:eastAsia="en-US"/>
        </w:rPr>
        <w:t>с</w:t>
      </w:r>
      <w:r w:rsidRPr="00D1550D">
        <w:rPr>
          <w:rFonts w:eastAsia="Calibri"/>
          <w:szCs w:val="28"/>
          <w:lang w:eastAsia="en-US"/>
        </w:rPr>
        <w:t>оздание «яслей» - содействие занятости женщин);</w:t>
      </w:r>
    </w:p>
    <w:p w:rsidR="006B18D3" w:rsidRPr="006B18D3" w:rsidRDefault="006B18D3" w:rsidP="006B18D3">
      <w:pPr>
        <w:ind w:firstLine="709"/>
        <w:jc w:val="both"/>
        <w:rPr>
          <w:rFonts w:eastAsia="Calibri"/>
          <w:szCs w:val="28"/>
          <w:lang w:eastAsia="en-US"/>
        </w:rPr>
      </w:pPr>
      <w:r>
        <w:rPr>
          <w:rFonts w:eastAsia="Calibri"/>
          <w:szCs w:val="28"/>
          <w:lang w:eastAsia="en-US"/>
        </w:rPr>
        <w:t>р</w:t>
      </w:r>
      <w:r w:rsidRPr="006B18D3">
        <w:rPr>
          <w:rFonts w:eastAsia="Calibri"/>
          <w:szCs w:val="28"/>
          <w:lang w:eastAsia="en-US"/>
        </w:rPr>
        <w:t xml:space="preserve">азработка и реализация программы системной поддержки и повышения качества жизни граждан старшего поколения </w:t>
      </w:r>
      <w:r w:rsidRPr="00D1550D">
        <w:rPr>
          <w:rFonts w:eastAsia="Calibri"/>
          <w:szCs w:val="28"/>
          <w:lang w:eastAsia="en-US"/>
        </w:rPr>
        <w:t>(</w:t>
      </w:r>
      <w:r w:rsidR="00D1550D">
        <w:rPr>
          <w:rFonts w:eastAsia="Calibri"/>
          <w:szCs w:val="28"/>
          <w:lang w:eastAsia="en-US"/>
        </w:rPr>
        <w:t>с</w:t>
      </w:r>
      <w:r w:rsidRPr="00D1550D">
        <w:rPr>
          <w:rFonts w:eastAsia="Calibri"/>
          <w:szCs w:val="28"/>
          <w:lang w:eastAsia="en-US"/>
        </w:rPr>
        <w:t>таршее поколение)</w:t>
      </w:r>
    </w:p>
    <w:p w:rsidR="006B18D3" w:rsidRPr="00D1550D" w:rsidRDefault="006B18D3" w:rsidP="006B18D3">
      <w:pPr>
        <w:ind w:firstLine="709"/>
        <w:jc w:val="both"/>
        <w:rPr>
          <w:rFonts w:eastAsia="Calibri"/>
          <w:szCs w:val="28"/>
          <w:lang w:eastAsia="en-US"/>
        </w:rPr>
      </w:pPr>
      <w:r>
        <w:rPr>
          <w:rFonts w:eastAsia="Calibri"/>
          <w:szCs w:val="28"/>
          <w:lang w:eastAsia="en-US"/>
        </w:rPr>
        <w:t>ф</w:t>
      </w:r>
      <w:r w:rsidRPr="006B18D3">
        <w:rPr>
          <w:rFonts w:eastAsia="Calibri"/>
          <w:szCs w:val="28"/>
          <w:lang w:eastAsia="en-US"/>
        </w:rPr>
        <w:t xml:space="preserve">ормирование системы мотивации граждан к здоровому образу жизни, включая здоровое питание и отказ от вредных привычек </w:t>
      </w:r>
      <w:r w:rsidRPr="00D1550D">
        <w:rPr>
          <w:rFonts w:eastAsia="Calibri"/>
          <w:szCs w:val="28"/>
          <w:lang w:eastAsia="en-US"/>
        </w:rPr>
        <w:t>(</w:t>
      </w:r>
      <w:r w:rsidR="00D1550D">
        <w:rPr>
          <w:rFonts w:eastAsia="Calibri"/>
          <w:szCs w:val="28"/>
          <w:lang w:eastAsia="en-US"/>
        </w:rPr>
        <w:t>у</w:t>
      </w:r>
      <w:r w:rsidRPr="00D1550D">
        <w:rPr>
          <w:rFonts w:eastAsia="Calibri"/>
          <w:szCs w:val="28"/>
          <w:lang w:eastAsia="en-US"/>
        </w:rPr>
        <w:t>крепление общественного здоровья)</w:t>
      </w:r>
    </w:p>
    <w:p w:rsidR="006B18D3" w:rsidRPr="006B18D3" w:rsidRDefault="006B18D3" w:rsidP="006B18D3">
      <w:pPr>
        <w:ind w:firstLine="709"/>
        <w:jc w:val="both"/>
        <w:rPr>
          <w:rFonts w:eastAsia="Calibri"/>
          <w:szCs w:val="28"/>
          <w:lang w:eastAsia="en-US"/>
        </w:rPr>
      </w:pPr>
      <w:r>
        <w:rPr>
          <w:rFonts w:eastAsia="Calibri"/>
          <w:szCs w:val="28"/>
          <w:lang w:eastAsia="en-US"/>
        </w:rPr>
        <w:lastRenderedPageBreak/>
        <w:t>с</w:t>
      </w:r>
      <w:r w:rsidRPr="006B18D3">
        <w:rPr>
          <w:rFonts w:eastAsia="Calibri"/>
          <w:szCs w:val="28"/>
          <w:lang w:eastAsia="en-US"/>
        </w:rPr>
        <w:t xml:space="preserve">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sidRPr="00D1550D">
        <w:rPr>
          <w:rFonts w:eastAsia="Calibri"/>
          <w:szCs w:val="28"/>
          <w:lang w:eastAsia="en-US"/>
        </w:rPr>
        <w:t>(</w:t>
      </w:r>
      <w:r w:rsidR="00D1550D">
        <w:rPr>
          <w:rFonts w:eastAsia="Calibri"/>
          <w:szCs w:val="28"/>
          <w:lang w:eastAsia="en-US"/>
        </w:rPr>
        <w:t>н</w:t>
      </w:r>
      <w:r w:rsidRPr="00D1550D">
        <w:rPr>
          <w:rFonts w:eastAsia="Calibri"/>
          <w:szCs w:val="28"/>
          <w:lang w:eastAsia="en-US"/>
        </w:rPr>
        <w:t>овая физическая культура населения).</w:t>
      </w:r>
    </w:p>
    <w:p w:rsidR="001A18AA" w:rsidRDefault="001A18AA" w:rsidP="00685779">
      <w:pPr>
        <w:tabs>
          <w:tab w:val="num" w:pos="993"/>
        </w:tabs>
        <w:ind w:firstLine="709"/>
        <w:jc w:val="both"/>
        <w:rPr>
          <w:b/>
          <w:szCs w:val="28"/>
        </w:rPr>
      </w:pPr>
    </w:p>
    <w:p w:rsidR="002C3F13" w:rsidRPr="00DE3CC3" w:rsidRDefault="00463C7C" w:rsidP="00685779">
      <w:pPr>
        <w:tabs>
          <w:tab w:val="num" w:pos="993"/>
        </w:tabs>
        <w:ind w:firstLine="709"/>
        <w:jc w:val="both"/>
        <w:rPr>
          <w:b/>
          <w:szCs w:val="28"/>
        </w:rPr>
      </w:pPr>
      <w:r w:rsidRPr="00DE3CC3">
        <w:rPr>
          <w:b/>
          <w:szCs w:val="28"/>
        </w:rPr>
        <w:t>Р</w:t>
      </w:r>
      <w:r w:rsidR="00685779" w:rsidRPr="00DE3CC3">
        <w:rPr>
          <w:b/>
          <w:szCs w:val="28"/>
        </w:rPr>
        <w:t xml:space="preserve">аздел </w:t>
      </w:r>
      <w:r w:rsidR="00466014" w:rsidRPr="00DE3CC3">
        <w:rPr>
          <w:b/>
          <w:szCs w:val="28"/>
          <w:lang w:val="en-US"/>
        </w:rPr>
        <w:t>I</w:t>
      </w:r>
      <w:r w:rsidR="00685779" w:rsidRPr="00DE3CC3">
        <w:rPr>
          <w:b/>
          <w:szCs w:val="28"/>
          <w:lang w:val="en-US"/>
        </w:rPr>
        <w:t>V</w:t>
      </w:r>
      <w:r w:rsidR="00685779" w:rsidRPr="00DE3CC3">
        <w:rPr>
          <w:b/>
          <w:szCs w:val="28"/>
        </w:rPr>
        <w:t>. Межбюджетные отношения в Тверской области.</w:t>
      </w:r>
    </w:p>
    <w:p w:rsidR="00B1448C" w:rsidRPr="00424B97" w:rsidRDefault="00B1448C" w:rsidP="00685779">
      <w:pPr>
        <w:tabs>
          <w:tab w:val="num" w:pos="993"/>
        </w:tabs>
        <w:ind w:firstLine="709"/>
        <w:jc w:val="both"/>
        <w:rPr>
          <w:b/>
          <w:szCs w:val="28"/>
          <w:highlight w:val="yellow"/>
        </w:rPr>
      </w:pPr>
    </w:p>
    <w:p w:rsidR="00C941F3" w:rsidRPr="008C5203" w:rsidRDefault="00C941F3" w:rsidP="00C941F3">
      <w:pPr>
        <w:tabs>
          <w:tab w:val="num" w:pos="993"/>
        </w:tabs>
        <w:ind w:firstLine="567"/>
        <w:jc w:val="both"/>
        <w:rPr>
          <w:szCs w:val="28"/>
        </w:rPr>
      </w:pPr>
      <w:r w:rsidRPr="008C5203">
        <w:rPr>
          <w:szCs w:val="28"/>
        </w:rPr>
        <w:t>Перспективными направлениями в сфере совершенствования межбюджетных отношений являются:</w:t>
      </w:r>
    </w:p>
    <w:p w:rsidR="00C941F3" w:rsidRPr="008C5203" w:rsidRDefault="00C941F3" w:rsidP="00C941F3">
      <w:pPr>
        <w:tabs>
          <w:tab w:val="num" w:pos="993"/>
        </w:tabs>
        <w:ind w:firstLine="567"/>
        <w:jc w:val="both"/>
        <w:rPr>
          <w:szCs w:val="28"/>
        </w:rPr>
      </w:pPr>
      <w:r w:rsidRPr="008C5203">
        <w:rPr>
          <w:szCs w:val="28"/>
        </w:rPr>
        <w:t>проведение детального анализа существующей сети учреждений бюджетной сферы в муниципальных образованиях Тверской области, а также факторов, влияющих на стоимость предоставления муниципальных услуг на территориях;</w:t>
      </w:r>
    </w:p>
    <w:p w:rsidR="00C941F3" w:rsidRPr="008C5203" w:rsidRDefault="00C941F3" w:rsidP="00C941F3">
      <w:pPr>
        <w:tabs>
          <w:tab w:val="num" w:pos="993"/>
        </w:tabs>
        <w:ind w:firstLine="567"/>
        <w:jc w:val="both"/>
        <w:rPr>
          <w:szCs w:val="28"/>
        </w:rPr>
      </w:pPr>
      <w:r w:rsidRPr="008C5203">
        <w:rPr>
          <w:szCs w:val="28"/>
        </w:rPr>
        <w:t>продолжение реализации мероприятий по финансовому оздоровлению территорий, у которых сохраняется значительный объем просроченной кредиторской задолженности;</w:t>
      </w:r>
    </w:p>
    <w:p w:rsidR="00F432CB" w:rsidRDefault="00C941F3" w:rsidP="00C941F3">
      <w:pPr>
        <w:tabs>
          <w:tab w:val="num" w:pos="993"/>
        </w:tabs>
        <w:ind w:firstLine="567"/>
        <w:jc w:val="both"/>
        <w:rPr>
          <w:szCs w:val="28"/>
        </w:rPr>
      </w:pPr>
      <w:r w:rsidRPr="008C5203">
        <w:rPr>
          <w:szCs w:val="28"/>
        </w:rPr>
        <w:t xml:space="preserve">проведение последовательной работы, направленной на обеспечение утверждения распределения большей части межбюджетных трансфертов муниципальным образованиям в первоначальной редакции закона об областном </w:t>
      </w:r>
      <w:r w:rsidR="00F432CB">
        <w:rPr>
          <w:szCs w:val="28"/>
        </w:rPr>
        <w:t>бюджете;</w:t>
      </w:r>
      <w:r w:rsidRPr="008C5203">
        <w:rPr>
          <w:szCs w:val="28"/>
        </w:rPr>
        <w:t xml:space="preserve"> </w:t>
      </w:r>
    </w:p>
    <w:p w:rsidR="00C941F3" w:rsidRPr="008C5203" w:rsidRDefault="00C941F3" w:rsidP="00C941F3">
      <w:pPr>
        <w:tabs>
          <w:tab w:val="num" w:pos="993"/>
        </w:tabs>
        <w:ind w:firstLine="567"/>
        <w:jc w:val="both"/>
        <w:rPr>
          <w:szCs w:val="28"/>
        </w:rPr>
      </w:pPr>
      <w:r w:rsidRPr="008C5203">
        <w:rPr>
          <w:szCs w:val="28"/>
        </w:rPr>
        <w:t>проведение дальнейшей работы по укрупнению поселений и повышению эффективности административно-территориальной структуры региона, положительным эффектом от реализации принятых мер является:</w:t>
      </w:r>
    </w:p>
    <w:p w:rsidR="00C941F3" w:rsidRPr="008C5203" w:rsidRDefault="00C941F3" w:rsidP="00C941F3">
      <w:pPr>
        <w:tabs>
          <w:tab w:val="num" w:pos="993"/>
        </w:tabs>
        <w:ind w:firstLine="567"/>
        <w:jc w:val="both"/>
        <w:rPr>
          <w:szCs w:val="28"/>
        </w:rPr>
      </w:pPr>
      <w:r w:rsidRPr="008C5203">
        <w:rPr>
          <w:szCs w:val="28"/>
        </w:rPr>
        <w:t>формирование единого бюджета территории, что позволяет сконцентрировать финансовые ресурсы на выполнении актуальных задач;</w:t>
      </w:r>
    </w:p>
    <w:p w:rsidR="00C941F3" w:rsidRPr="008C5203" w:rsidRDefault="00C941F3" w:rsidP="00C941F3">
      <w:pPr>
        <w:tabs>
          <w:tab w:val="num" w:pos="993"/>
        </w:tabs>
        <w:ind w:firstLine="567"/>
        <w:jc w:val="both"/>
        <w:rPr>
          <w:szCs w:val="28"/>
        </w:rPr>
      </w:pPr>
      <w:r w:rsidRPr="008C5203">
        <w:rPr>
          <w:szCs w:val="28"/>
        </w:rPr>
        <w:t>формирование единого центра принятия решений и управления территорией;</w:t>
      </w:r>
    </w:p>
    <w:p w:rsidR="00C941F3" w:rsidRPr="008C5203" w:rsidRDefault="00C941F3" w:rsidP="00C941F3">
      <w:pPr>
        <w:tabs>
          <w:tab w:val="num" w:pos="993"/>
        </w:tabs>
        <w:ind w:firstLine="567"/>
        <w:jc w:val="both"/>
        <w:rPr>
          <w:szCs w:val="28"/>
        </w:rPr>
      </w:pPr>
      <w:r w:rsidRPr="008C5203">
        <w:rPr>
          <w:szCs w:val="28"/>
        </w:rPr>
        <w:t>централизация бухгалтерских служб и оптимизация затрат на использование программных продуктов для обеспечения деятельности органов местного самоуправления;</w:t>
      </w:r>
    </w:p>
    <w:p w:rsidR="00C941F3" w:rsidRPr="008C5203" w:rsidRDefault="00C941F3" w:rsidP="00C941F3">
      <w:pPr>
        <w:tabs>
          <w:tab w:val="num" w:pos="993"/>
        </w:tabs>
        <w:ind w:firstLine="567"/>
        <w:jc w:val="both"/>
        <w:rPr>
          <w:szCs w:val="28"/>
        </w:rPr>
      </w:pPr>
      <w:r w:rsidRPr="008C5203">
        <w:rPr>
          <w:szCs w:val="28"/>
        </w:rPr>
        <w:t>централизация процедур проведения закупок для муниципальных нужд;</w:t>
      </w:r>
    </w:p>
    <w:p w:rsidR="00C941F3" w:rsidRPr="008C5203" w:rsidRDefault="00C941F3" w:rsidP="00C941F3">
      <w:pPr>
        <w:tabs>
          <w:tab w:val="num" w:pos="993"/>
        </w:tabs>
        <w:ind w:firstLine="567"/>
        <w:jc w:val="both"/>
        <w:rPr>
          <w:szCs w:val="28"/>
        </w:rPr>
      </w:pPr>
      <w:r w:rsidRPr="008C5203">
        <w:rPr>
          <w:szCs w:val="28"/>
        </w:rPr>
        <w:t>экономия средств на содержание органов местного самоуправления.</w:t>
      </w:r>
    </w:p>
    <w:p w:rsidR="00C941F3" w:rsidRPr="008C5203" w:rsidRDefault="00B10D32" w:rsidP="00C941F3">
      <w:pPr>
        <w:widowControl w:val="0"/>
        <w:autoSpaceDE w:val="0"/>
        <w:autoSpaceDN w:val="0"/>
        <w:ind w:firstLine="567"/>
        <w:jc w:val="both"/>
        <w:rPr>
          <w:szCs w:val="28"/>
        </w:rPr>
      </w:pPr>
      <w:r>
        <w:rPr>
          <w:szCs w:val="28"/>
        </w:rPr>
        <w:t xml:space="preserve">Сформированная </w:t>
      </w:r>
      <w:r w:rsidR="00C941F3" w:rsidRPr="008C5203">
        <w:rPr>
          <w:szCs w:val="28"/>
        </w:rPr>
        <w:t>к</w:t>
      </w:r>
      <w:r>
        <w:rPr>
          <w:szCs w:val="28"/>
        </w:rPr>
        <w:t>онцепция межбюджетных отношений</w:t>
      </w:r>
      <w:r w:rsidR="00C941F3" w:rsidRPr="008C5203">
        <w:rPr>
          <w:szCs w:val="28"/>
        </w:rPr>
        <w:t xml:space="preserve"> позволя</w:t>
      </w:r>
      <w:r>
        <w:rPr>
          <w:szCs w:val="28"/>
        </w:rPr>
        <w:t>ет</w:t>
      </w:r>
      <w:r w:rsidR="00C941F3" w:rsidRPr="008C5203">
        <w:rPr>
          <w:szCs w:val="28"/>
        </w:rPr>
        <w:t xml:space="preserve"> обеспечить выравнивание финансовых возможностей муниципальных образований Тверской области, а также стимулирование муниципальных образований к наращиванию собственного доходного потенциала и развитию экономики на территории муниципального образования.  </w:t>
      </w:r>
    </w:p>
    <w:p w:rsidR="00C941F3" w:rsidRPr="008C5203" w:rsidRDefault="00C941F3" w:rsidP="00C941F3">
      <w:pPr>
        <w:ind w:firstLine="567"/>
        <w:jc w:val="both"/>
        <w:rPr>
          <w:rFonts w:eastAsia="Calibri"/>
          <w:szCs w:val="28"/>
          <w:lang w:eastAsia="en-US"/>
        </w:rPr>
      </w:pPr>
      <w:r w:rsidRPr="008C5203">
        <w:rPr>
          <w:rFonts w:eastAsia="Calibri"/>
          <w:szCs w:val="28"/>
          <w:lang w:eastAsia="en-US"/>
        </w:rPr>
        <w:t xml:space="preserve">В рамках реализации межбюджетных отношений и учитывая высокий интерес граждан к практикам вовлечения населения в определение приоритетов бюджетных расходов на местном уровне, в Тверской области внедрен механизма инициативного бюджетирования. </w:t>
      </w:r>
    </w:p>
    <w:p w:rsidR="00C941F3" w:rsidRPr="008C5203" w:rsidRDefault="00C941F3" w:rsidP="00C941F3">
      <w:pPr>
        <w:ind w:firstLine="567"/>
        <w:jc w:val="both"/>
        <w:rPr>
          <w:rFonts w:eastAsia="Calibri"/>
          <w:szCs w:val="28"/>
          <w:lang w:eastAsia="en-US"/>
        </w:rPr>
      </w:pPr>
      <w:r w:rsidRPr="008C5203">
        <w:rPr>
          <w:rFonts w:eastAsia="Calibri"/>
          <w:szCs w:val="28"/>
          <w:lang w:eastAsia="en-US"/>
        </w:rPr>
        <w:t>На территории Тверской области реализуется Программа поддержки местных инициатив (ППМИ).</w:t>
      </w:r>
    </w:p>
    <w:p w:rsidR="00C941F3" w:rsidRPr="008C5203" w:rsidRDefault="00C941F3" w:rsidP="00C941F3">
      <w:pPr>
        <w:ind w:firstLine="567"/>
        <w:jc w:val="both"/>
        <w:rPr>
          <w:rFonts w:eastAsia="Calibri"/>
          <w:szCs w:val="28"/>
          <w:lang w:eastAsia="en-US"/>
        </w:rPr>
      </w:pPr>
      <w:r w:rsidRPr="008C5203">
        <w:rPr>
          <w:rFonts w:eastAsia="Calibri"/>
          <w:szCs w:val="28"/>
          <w:lang w:eastAsia="en-US"/>
        </w:rPr>
        <w:t xml:space="preserve">Основой практики инициативного бюджетирования является комплекс действий, выстроенный на основании последовательных процедур непосредственного участия граждан и предпринимательского сообщества в развитии общественной инфраструктуры, в том числе улучшение условий проживания и качества жизни населения. </w:t>
      </w:r>
    </w:p>
    <w:p w:rsidR="00C941F3" w:rsidRPr="008C5203" w:rsidRDefault="00C941F3" w:rsidP="00C941F3">
      <w:pPr>
        <w:tabs>
          <w:tab w:val="left" w:pos="4820"/>
        </w:tabs>
        <w:spacing w:line="256" w:lineRule="auto"/>
        <w:ind w:firstLine="567"/>
        <w:jc w:val="both"/>
        <w:rPr>
          <w:szCs w:val="28"/>
        </w:rPr>
      </w:pPr>
      <w:r w:rsidRPr="008C5203">
        <w:rPr>
          <w:rFonts w:eastAsia="Calibri"/>
          <w:szCs w:val="28"/>
          <w:lang w:eastAsia="en-US"/>
        </w:rPr>
        <w:lastRenderedPageBreak/>
        <w:t>Практика инициативного бюджетирования содержит значительный потенциал развития территории Тверской области, благоустройства социально-значимых объектов инфраструктуры, повышения качества жизни населения и может рассматриваться в качестве основного инструмента для интеграции процессов открытости бюджетов, вовлечение граждан в принятие бюджетных решений и определения самими жителями приоритетных направлений в рамках, которых будет реализовываться ППМИ.</w:t>
      </w:r>
    </w:p>
    <w:p w:rsidR="00C941F3" w:rsidRPr="008C5203" w:rsidRDefault="00C941F3" w:rsidP="00C941F3">
      <w:pPr>
        <w:tabs>
          <w:tab w:val="left" w:pos="4820"/>
        </w:tabs>
        <w:spacing w:line="257" w:lineRule="auto"/>
        <w:ind w:firstLine="567"/>
        <w:jc w:val="both"/>
        <w:rPr>
          <w:szCs w:val="28"/>
        </w:rPr>
      </w:pPr>
      <w:r w:rsidRPr="008C5203">
        <w:rPr>
          <w:color w:val="000000"/>
          <w:kern w:val="24"/>
          <w:szCs w:val="28"/>
        </w:rPr>
        <w:t>Кроме того, в целях обеспечения наиболее устойчивого и сбалансированного исполнения областного бюджета, сохранение безопасного уровня долговой нагрузки планируется принятие и реализация на территории Тверской области программы оздоровления государственных финансов.</w:t>
      </w:r>
      <w:r w:rsidRPr="008C5203">
        <w:rPr>
          <w:szCs w:val="28"/>
        </w:rPr>
        <w:t xml:space="preserve"> </w:t>
      </w:r>
    </w:p>
    <w:p w:rsidR="00C941F3" w:rsidRPr="008C5203" w:rsidRDefault="00C941F3" w:rsidP="00C941F3">
      <w:pPr>
        <w:tabs>
          <w:tab w:val="left" w:pos="4820"/>
        </w:tabs>
        <w:spacing w:line="257" w:lineRule="auto"/>
        <w:ind w:firstLine="567"/>
        <w:jc w:val="both"/>
        <w:rPr>
          <w:szCs w:val="28"/>
        </w:rPr>
      </w:pPr>
      <w:r w:rsidRPr="008C5203">
        <w:rPr>
          <w:szCs w:val="28"/>
        </w:rPr>
        <w:t>Реализация основных направлений долгосрочной бюджетной политики позволит снизить темпы роста расходов за счет сокращения неэффективных трат и сформировать оптимальную структуру расходов областного бюджета Тверской области.</w:t>
      </w:r>
    </w:p>
    <w:p w:rsidR="00C941F3" w:rsidRDefault="00C941F3" w:rsidP="00A54B01">
      <w:pPr>
        <w:jc w:val="center"/>
        <w:rPr>
          <w:b/>
          <w:szCs w:val="28"/>
        </w:rPr>
      </w:pPr>
    </w:p>
    <w:p w:rsidR="00685779" w:rsidRPr="00D3137E" w:rsidRDefault="00463C7C" w:rsidP="00A54B01">
      <w:pPr>
        <w:jc w:val="center"/>
        <w:rPr>
          <w:b/>
          <w:szCs w:val="28"/>
        </w:rPr>
      </w:pPr>
      <w:r w:rsidRPr="00D3137E">
        <w:rPr>
          <w:b/>
          <w:szCs w:val="28"/>
        </w:rPr>
        <w:t xml:space="preserve">Раздел </w:t>
      </w:r>
      <w:r w:rsidRPr="00D3137E">
        <w:rPr>
          <w:b/>
          <w:szCs w:val="28"/>
          <w:lang w:val="en-US"/>
        </w:rPr>
        <w:t>V</w:t>
      </w:r>
      <w:r w:rsidR="00FE0B9F" w:rsidRPr="00D3137E">
        <w:rPr>
          <w:b/>
          <w:szCs w:val="28"/>
        </w:rPr>
        <w:t xml:space="preserve">. </w:t>
      </w:r>
      <w:r w:rsidR="00685779" w:rsidRPr="00D3137E">
        <w:rPr>
          <w:b/>
          <w:szCs w:val="28"/>
        </w:rPr>
        <w:t>Долговая политика Тверской области на 201</w:t>
      </w:r>
      <w:r w:rsidR="00A85CA2" w:rsidRPr="00D3137E">
        <w:rPr>
          <w:b/>
          <w:szCs w:val="28"/>
        </w:rPr>
        <w:t>8 год и плановый период 2019</w:t>
      </w:r>
      <w:r w:rsidR="00685779" w:rsidRPr="00D3137E">
        <w:rPr>
          <w:b/>
          <w:szCs w:val="28"/>
        </w:rPr>
        <w:t xml:space="preserve"> и 20</w:t>
      </w:r>
      <w:r w:rsidR="00A85CA2" w:rsidRPr="00D3137E">
        <w:rPr>
          <w:b/>
          <w:szCs w:val="28"/>
        </w:rPr>
        <w:t>20</w:t>
      </w:r>
      <w:r w:rsidR="00685779" w:rsidRPr="00D3137E">
        <w:rPr>
          <w:b/>
          <w:szCs w:val="28"/>
        </w:rPr>
        <w:t xml:space="preserve"> годов</w:t>
      </w:r>
    </w:p>
    <w:p w:rsidR="00C941F3" w:rsidRDefault="00C941F3" w:rsidP="00C941F3">
      <w:pPr>
        <w:ind w:firstLine="709"/>
        <w:jc w:val="both"/>
        <w:rPr>
          <w:rFonts w:eastAsia="Calibri"/>
          <w:szCs w:val="28"/>
          <w:lang w:eastAsia="en-US"/>
        </w:rPr>
      </w:pPr>
    </w:p>
    <w:p w:rsidR="00C941F3" w:rsidRPr="00C941F3" w:rsidRDefault="00C941F3" w:rsidP="00C941F3">
      <w:pPr>
        <w:ind w:firstLine="709"/>
        <w:jc w:val="both"/>
        <w:rPr>
          <w:rFonts w:eastAsia="Calibri"/>
          <w:szCs w:val="28"/>
          <w:lang w:eastAsia="en-US"/>
        </w:rPr>
      </w:pPr>
      <w:r w:rsidRPr="00C941F3">
        <w:rPr>
          <w:rFonts w:eastAsia="Calibri"/>
          <w:szCs w:val="28"/>
          <w:lang w:eastAsia="en-US"/>
        </w:rPr>
        <w:t>Основными целями дол</w:t>
      </w:r>
      <w:r>
        <w:rPr>
          <w:rFonts w:eastAsia="Calibri"/>
          <w:szCs w:val="28"/>
          <w:lang w:eastAsia="en-US"/>
        </w:rPr>
        <w:t xml:space="preserve">говой политики Тверской области </w:t>
      </w:r>
      <w:r w:rsidRPr="00C941F3">
        <w:rPr>
          <w:rFonts w:eastAsia="Calibri"/>
          <w:szCs w:val="28"/>
          <w:lang w:eastAsia="en-US"/>
        </w:rPr>
        <w:t xml:space="preserve">на </w:t>
      </w:r>
      <w:r>
        <w:rPr>
          <w:rFonts w:eastAsia="Calibri"/>
          <w:szCs w:val="28"/>
          <w:lang w:eastAsia="en-US"/>
        </w:rPr>
        <w:t>2</w:t>
      </w:r>
      <w:r w:rsidRPr="00C941F3">
        <w:rPr>
          <w:rFonts w:eastAsia="Calibri"/>
          <w:szCs w:val="28"/>
          <w:lang w:eastAsia="en-US"/>
        </w:rPr>
        <w:t>019 год и на плановый период 2020 и 2021 годов (далее – Долговая политика) являются:</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а) обеспечение снижения долговой нагрузки на областной бюджет Тверской области в отношении к доходам областного бюджета Тверской области без учета безвозмездных поступлений;</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б) обеспечение сбалансированности областного бюджета Тверской области при наименьшем из возможных уровне затрат на обслуживание государственного долга Тверской области;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в) обеспечение полного и своевременного исполнения и обслуживания долговых обязательств Тверской области.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Реализация Долговой политики направлена на решение следующих основных задач:</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а) исполнение Программы государственных внутренних заимствований Тверской области на 2019 год и на плановый период 2020 и 2021 годов, утвержденной законом Тверской области «Об областном бюджете Тверской области на 2019 год и на плановый период 2020 и 2021 годов»;</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б) соблюдение ограничений, установленных Бюджетным кодексом Российской Федерации в части расходов на обслуживание государственного долга субъекта Российской Федерации;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в) соблюдение условий заключенных между Правительством Тверской области и Министерством финансов Российской Федерации дополнительных соглашений к соглашениям о предоставлении бюджету Тверской области из федерального бюджета бюджетного кредита для частичного покрытия дефицита бюджета Тверской области (далее – Дополнительные соглашения), предусматривающих реструктуризацию задолженности по данным бюджетным кредитам;</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lastRenderedPageBreak/>
        <w:t>г) обеспечение необходимого уровня ликвидности областного бюджета Тверской области.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Основными мероприятиями, проводимыми в рамках реализации Долговой политики, являются:</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а) проведение мониторинга соблюдения ограничений, установленных Бюджетным кодексом Российской Федерации, соглашениями о предоставлении областному бюджету Тверской области из федерального бюджета бюджетных кредитов, условиями реструктуризации задолженности по бюджетным кредитам, установленными в соответствии с бюджетным законодательством Российской Федерации;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б) мониторинг условий размещения субъектами Российской Федерации государственных ценных бумаг и привлечения субъектами Российской Федерации кредитов кредитных организаций в целях привлечения заемных средств на наиболее выгодных условиях с учетом конъюнктуры рынка;</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в) приостановление выдачи государственных гарантий Тверской области;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г) осуществление оперативного управления государственным долгом Тверской области в целях экономии расходов на обслуживание государственного долга Тверской области, в том числе, при наличии возможности, операций по досрочному погашению и рефинансированию долговых обязательств Тверской области;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 xml:space="preserve">д) ежегодное заключение с Управлением Федерального казначейства по Тверской области договора о предоставлении бюджетного кредита на пополнение остатков средств на счетах бюджетов субъектов Российской Федерации (местных бюджетов); </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е) использование механизма возобновляемых кредитных линий;</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ж) контроль за полным и своевременным исполнением и обслуживанием долговых обязательств Тверской области;</w:t>
      </w:r>
    </w:p>
    <w:p w:rsidR="00C941F3" w:rsidRPr="00C941F3" w:rsidRDefault="00C941F3" w:rsidP="00C941F3">
      <w:pPr>
        <w:ind w:firstLine="709"/>
        <w:jc w:val="both"/>
        <w:rPr>
          <w:rFonts w:eastAsia="Calibri"/>
          <w:szCs w:val="28"/>
          <w:lang w:eastAsia="en-US"/>
        </w:rPr>
      </w:pPr>
      <w:r w:rsidRPr="00C941F3">
        <w:rPr>
          <w:rFonts w:eastAsia="Calibri"/>
          <w:szCs w:val="28"/>
          <w:lang w:eastAsia="en-US"/>
        </w:rPr>
        <w:t>з) поддержание информационной открытости.</w:t>
      </w:r>
    </w:p>
    <w:p w:rsidR="00C209F2" w:rsidRDefault="00C209F2" w:rsidP="00D1550D">
      <w:pPr>
        <w:pStyle w:val="a3"/>
        <w:jc w:val="both"/>
        <w:rPr>
          <w:b/>
          <w:szCs w:val="28"/>
        </w:rPr>
      </w:pPr>
    </w:p>
    <w:p w:rsidR="00D1550D" w:rsidRDefault="00D1550D" w:rsidP="00D1550D">
      <w:pPr>
        <w:pStyle w:val="a3"/>
        <w:jc w:val="both"/>
        <w:rPr>
          <w:b/>
          <w:szCs w:val="28"/>
        </w:rPr>
      </w:pPr>
    </w:p>
    <w:p w:rsidR="001E44CA" w:rsidRDefault="0052441B" w:rsidP="00D1550D">
      <w:pPr>
        <w:pStyle w:val="a3"/>
        <w:jc w:val="both"/>
        <w:rPr>
          <w:rFonts w:ascii="Times New Roman" w:hAnsi="Times New Roman" w:cs="Times New Roman"/>
          <w:b/>
          <w:sz w:val="28"/>
          <w:szCs w:val="28"/>
        </w:rPr>
      </w:pPr>
      <w:r>
        <w:rPr>
          <w:rFonts w:ascii="Times New Roman" w:hAnsi="Times New Roman" w:cs="Times New Roman"/>
          <w:b/>
          <w:sz w:val="28"/>
          <w:szCs w:val="28"/>
        </w:rPr>
        <w:t>Временно и</w:t>
      </w:r>
      <w:r w:rsidR="001E44CA">
        <w:rPr>
          <w:rFonts w:ascii="Times New Roman" w:hAnsi="Times New Roman" w:cs="Times New Roman"/>
          <w:b/>
          <w:sz w:val="28"/>
          <w:szCs w:val="28"/>
        </w:rPr>
        <w:t>сполняющий обязанности</w:t>
      </w:r>
    </w:p>
    <w:p w:rsidR="00D1550D" w:rsidRDefault="001E44CA" w:rsidP="00D1550D">
      <w:pPr>
        <w:pStyle w:val="a3"/>
        <w:jc w:val="both"/>
        <w:rPr>
          <w:rFonts w:ascii="Times New Roman" w:hAnsi="Times New Roman" w:cs="Times New Roman"/>
          <w:b/>
          <w:sz w:val="28"/>
          <w:szCs w:val="28"/>
        </w:rPr>
      </w:pPr>
      <w:r>
        <w:rPr>
          <w:rFonts w:ascii="Times New Roman" w:hAnsi="Times New Roman" w:cs="Times New Roman"/>
          <w:b/>
          <w:sz w:val="28"/>
          <w:szCs w:val="28"/>
        </w:rPr>
        <w:t xml:space="preserve">Министра </w:t>
      </w:r>
      <w:r w:rsidR="00D1550D">
        <w:rPr>
          <w:rFonts w:ascii="Times New Roman" w:hAnsi="Times New Roman" w:cs="Times New Roman"/>
          <w:b/>
          <w:sz w:val="28"/>
          <w:szCs w:val="28"/>
        </w:rPr>
        <w:t xml:space="preserve">финансов </w:t>
      </w:r>
    </w:p>
    <w:p w:rsidR="00F76858" w:rsidRPr="003C5552" w:rsidRDefault="00D1550D" w:rsidP="00D1550D">
      <w:pPr>
        <w:pStyle w:val="a3"/>
        <w:jc w:val="both"/>
        <w:rPr>
          <w:b/>
          <w:szCs w:val="28"/>
        </w:rPr>
      </w:pPr>
      <w:r>
        <w:rPr>
          <w:rFonts w:ascii="Times New Roman" w:hAnsi="Times New Roman" w:cs="Times New Roman"/>
          <w:b/>
          <w:sz w:val="28"/>
          <w:szCs w:val="28"/>
        </w:rPr>
        <w:t>Тверской области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52441B">
        <w:rPr>
          <w:rFonts w:ascii="Times New Roman" w:hAnsi="Times New Roman" w:cs="Times New Roman"/>
          <w:b/>
          <w:sz w:val="28"/>
          <w:szCs w:val="28"/>
        </w:rPr>
        <w:t xml:space="preserve">                </w:t>
      </w:r>
      <w:bookmarkStart w:id="1" w:name="_GoBack"/>
      <w:bookmarkEnd w:id="1"/>
      <w:r w:rsidR="003132AA">
        <w:rPr>
          <w:rFonts w:ascii="Times New Roman" w:hAnsi="Times New Roman" w:cs="Times New Roman"/>
          <w:b/>
          <w:sz w:val="28"/>
          <w:szCs w:val="28"/>
        </w:rPr>
        <w:t xml:space="preserve">     </w:t>
      </w:r>
      <w:r w:rsidR="001E44CA">
        <w:rPr>
          <w:rFonts w:ascii="Times New Roman" w:hAnsi="Times New Roman" w:cs="Times New Roman"/>
          <w:b/>
          <w:sz w:val="28"/>
          <w:szCs w:val="28"/>
        </w:rPr>
        <w:t xml:space="preserve">       </w:t>
      </w:r>
      <w:r w:rsidR="003132AA">
        <w:rPr>
          <w:rFonts w:ascii="Times New Roman" w:hAnsi="Times New Roman" w:cs="Times New Roman"/>
          <w:b/>
          <w:sz w:val="28"/>
          <w:szCs w:val="28"/>
        </w:rPr>
        <w:t xml:space="preserve">   </w:t>
      </w:r>
      <w:r w:rsidR="0052441B">
        <w:rPr>
          <w:rFonts w:ascii="Times New Roman" w:hAnsi="Times New Roman" w:cs="Times New Roman"/>
          <w:b/>
          <w:sz w:val="28"/>
          <w:szCs w:val="28"/>
        </w:rPr>
        <w:t>М.И. Подтихова</w:t>
      </w:r>
    </w:p>
    <w:sectPr w:rsidR="00F76858" w:rsidRPr="003C5552" w:rsidSect="0004774D">
      <w:footerReference w:type="default" r:id="rId8"/>
      <w:pgSz w:w="11906" w:h="16838"/>
      <w:pgMar w:top="709" w:right="850" w:bottom="993" w:left="993"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275" w:rsidRDefault="00BF3275" w:rsidP="00FB6E49">
      <w:r>
        <w:separator/>
      </w:r>
    </w:p>
  </w:endnote>
  <w:endnote w:type="continuationSeparator" w:id="0">
    <w:p w:rsidR="00BF3275" w:rsidRDefault="00BF3275"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856"/>
      <w:docPartObj>
        <w:docPartGallery w:val="Page Numbers (Bottom of Page)"/>
        <w:docPartUnique/>
      </w:docPartObj>
    </w:sdtPr>
    <w:sdtEndPr/>
    <w:sdtContent>
      <w:p w:rsidR="00BF3275" w:rsidRDefault="00BF3275">
        <w:pPr>
          <w:pStyle w:val="a9"/>
          <w:jc w:val="right"/>
        </w:pPr>
        <w:r>
          <w:fldChar w:fldCharType="begin"/>
        </w:r>
        <w:r>
          <w:instrText>PAGE   \* MERGEFORMAT</w:instrText>
        </w:r>
        <w:r>
          <w:fldChar w:fldCharType="separate"/>
        </w:r>
        <w:r w:rsidR="0052441B">
          <w:rPr>
            <w:noProof/>
          </w:rPr>
          <w:t>32</w:t>
        </w:r>
        <w:r>
          <w:fldChar w:fldCharType="end"/>
        </w:r>
      </w:p>
    </w:sdtContent>
  </w:sdt>
  <w:p w:rsidR="00BF3275" w:rsidRDefault="00BF32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275" w:rsidRDefault="00BF3275" w:rsidP="00FB6E49">
      <w:r>
        <w:separator/>
      </w:r>
    </w:p>
  </w:footnote>
  <w:footnote w:type="continuationSeparator" w:id="0">
    <w:p w:rsidR="00BF3275" w:rsidRDefault="00BF3275" w:rsidP="00FB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7D"/>
    <w:multiLevelType w:val="hybridMultilevel"/>
    <w:tmpl w:val="32C64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A42C14"/>
    <w:multiLevelType w:val="multilevel"/>
    <w:tmpl w:val="5DD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F229FF"/>
    <w:multiLevelType w:val="multilevel"/>
    <w:tmpl w:val="9D3A1F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F0F270D"/>
    <w:multiLevelType w:val="hybridMultilevel"/>
    <w:tmpl w:val="C5025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311A45"/>
    <w:multiLevelType w:val="hybridMultilevel"/>
    <w:tmpl w:val="ACD4C4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72B29A3"/>
    <w:multiLevelType w:val="hybridMultilevel"/>
    <w:tmpl w:val="FCEA5460"/>
    <w:lvl w:ilvl="0" w:tplc="777413A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15:restartNumberingAfterBreak="0">
    <w:nsid w:val="4EB714F7"/>
    <w:multiLevelType w:val="hybridMultilevel"/>
    <w:tmpl w:val="E6F28F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5364A84"/>
    <w:multiLevelType w:val="hybridMultilevel"/>
    <w:tmpl w:val="B75E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26C6C9A"/>
    <w:multiLevelType w:val="hybridMultilevel"/>
    <w:tmpl w:val="34AAD770"/>
    <w:lvl w:ilvl="0" w:tplc="CC28A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8220C2"/>
    <w:multiLevelType w:val="hybridMultilevel"/>
    <w:tmpl w:val="AA5E63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4"/>
  </w:num>
  <w:num w:numId="6">
    <w:abstractNumId w:val="3"/>
  </w:num>
  <w:num w:numId="7">
    <w:abstractNumId w:val="7"/>
  </w:num>
  <w:num w:numId="8">
    <w:abstractNumId w:val="10"/>
  </w:num>
  <w:num w:numId="9">
    <w:abstractNumId w:val="1"/>
  </w:num>
  <w:num w:numId="10">
    <w:abstractNumId w:val="13"/>
  </w:num>
  <w:num w:numId="11">
    <w:abstractNumId w:val="11"/>
  </w:num>
  <w:num w:numId="12">
    <w:abstractNumId w:val="0"/>
  </w:num>
  <w:num w:numId="13">
    <w:abstractNumId w:val="5"/>
  </w:num>
  <w:num w:numId="14">
    <w:abstractNumId w:val="9"/>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F"/>
    <w:rsid w:val="000072FF"/>
    <w:rsid w:val="000108A1"/>
    <w:rsid w:val="000111FF"/>
    <w:rsid w:val="00012A16"/>
    <w:rsid w:val="00012AB9"/>
    <w:rsid w:val="0001429D"/>
    <w:rsid w:val="0002661B"/>
    <w:rsid w:val="000302B7"/>
    <w:rsid w:val="00035446"/>
    <w:rsid w:val="000374E2"/>
    <w:rsid w:val="00041B0E"/>
    <w:rsid w:val="00044A1F"/>
    <w:rsid w:val="0004548A"/>
    <w:rsid w:val="0004774D"/>
    <w:rsid w:val="00047C44"/>
    <w:rsid w:val="00052EEF"/>
    <w:rsid w:val="00057BF8"/>
    <w:rsid w:val="00062D49"/>
    <w:rsid w:val="000725BB"/>
    <w:rsid w:val="000735E7"/>
    <w:rsid w:val="00073E0B"/>
    <w:rsid w:val="00075D28"/>
    <w:rsid w:val="0008107D"/>
    <w:rsid w:val="00084B39"/>
    <w:rsid w:val="00085761"/>
    <w:rsid w:val="000858A0"/>
    <w:rsid w:val="00087DC5"/>
    <w:rsid w:val="000912D8"/>
    <w:rsid w:val="0009281F"/>
    <w:rsid w:val="00093E0C"/>
    <w:rsid w:val="000A089E"/>
    <w:rsid w:val="000A1E83"/>
    <w:rsid w:val="000A461F"/>
    <w:rsid w:val="000A60E9"/>
    <w:rsid w:val="000A6580"/>
    <w:rsid w:val="000B4095"/>
    <w:rsid w:val="000B559A"/>
    <w:rsid w:val="000C0C3E"/>
    <w:rsid w:val="000C2C6C"/>
    <w:rsid w:val="000C7050"/>
    <w:rsid w:val="000D0866"/>
    <w:rsid w:val="000D18B7"/>
    <w:rsid w:val="000E190F"/>
    <w:rsid w:val="000E4499"/>
    <w:rsid w:val="000F33C5"/>
    <w:rsid w:val="000F3829"/>
    <w:rsid w:val="000F3D3A"/>
    <w:rsid w:val="00106275"/>
    <w:rsid w:val="00112C21"/>
    <w:rsid w:val="00122881"/>
    <w:rsid w:val="00124BDE"/>
    <w:rsid w:val="001268FE"/>
    <w:rsid w:val="001326EC"/>
    <w:rsid w:val="00133F89"/>
    <w:rsid w:val="00135232"/>
    <w:rsid w:val="00137095"/>
    <w:rsid w:val="00142999"/>
    <w:rsid w:val="00145E39"/>
    <w:rsid w:val="0014651E"/>
    <w:rsid w:val="001478AB"/>
    <w:rsid w:val="00157F5F"/>
    <w:rsid w:val="001670D1"/>
    <w:rsid w:val="0016741E"/>
    <w:rsid w:val="00167FC9"/>
    <w:rsid w:val="00176FC2"/>
    <w:rsid w:val="00180A28"/>
    <w:rsid w:val="001876FF"/>
    <w:rsid w:val="0018776B"/>
    <w:rsid w:val="001A18AA"/>
    <w:rsid w:val="001A59EA"/>
    <w:rsid w:val="001A5F1F"/>
    <w:rsid w:val="001B1DDD"/>
    <w:rsid w:val="001B39CE"/>
    <w:rsid w:val="001B6692"/>
    <w:rsid w:val="001C0787"/>
    <w:rsid w:val="001C4335"/>
    <w:rsid w:val="001C7DE1"/>
    <w:rsid w:val="001D3DF3"/>
    <w:rsid w:val="001E44CA"/>
    <w:rsid w:val="001F1E9B"/>
    <w:rsid w:val="001F5B2C"/>
    <w:rsid w:val="0021461B"/>
    <w:rsid w:val="002154F4"/>
    <w:rsid w:val="0021726C"/>
    <w:rsid w:val="002203B9"/>
    <w:rsid w:val="00233FBE"/>
    <w:rsid w:val="00235B87"/>
    <w:rsid w:val="0024018E"/>
    <w:rsid w:val="0024166B"/>
    <w:rsid w:val="00242810"/>
    <w:rsid w:val="00260629"/>
    <w:rsid w:val="00266B7B"/>
    <w:rsid w:val="00271235"/>
    <w:rsid w:val="00271D5E"/>
    <w:rsid w:val="002828B6"/>
    <w:rsid w:val="00282CDD"/>
    <w:rsid w:val="00283BD6"/>
    <w:rsid w:val="00284FBF"/>
    <w:rsid w:val="002914C1"/>
    <w:rsid w:val="00296068"/>
    <w:rsid w:val="00296454"/>
    <w:rsid w:val="002A374A"/>
    <w:rsid w:val="002A4E73"/>
    <w:rsid w:val="002A6412"/>
    <w:rsid w:val="002B4CC9"/>
    <w:rsid w:val="002B5860"/>
    <w:rsid w:val="002C2B62"/>
    <w:rsid w:val="002C3F13"/>
    <w:rsid w:val="002C45D9"/>
    <w:rsid w:val="002C69A9"/>
    <w:rsid w:val="002D0D49"/>
    <w:rsid w:val="002D129B"/>
    <w:rsid w:val="002D373D"/>
    <w:rsid w:val="002D56FA"/>
    <w:rsid w:val="002D6E58"/>
    <w:rsid w:val="002E4AFA"/>
    <w:rsid w:val="002E5F6C"/>
    <w:rsid w:val="00307817"/>
    <w:rsid w:val="003132AA"/>
    <w:rsid w:val="003148E2"/>
    <w:rsid w:val="003161CF"/>
    <w:rsid w:val="003177CB"/>
    <w:rsid w:val="00326B79"/>
    <w:rsid w:val="00332A45"/>
    <w:rsid w:val="00335547"/>
    <w:rsid w:val="00335A80"/>
    <w:rsid w:val="003367A0"/>
    <w:rsid w:val="00340198"/>
    <w:rsid w:val="003477C2"/>
    <w:rsid w:val="00347D15"/>
    <w:rsid w:val="003505E5"/>
    <w:rsid w:val="0035467D"/>
    <w:rsid w:val="00357380"/>
    <w:rsid w:val="00360851"/>
    <w:rsid w:val="00363586"/>
    <w:rsid w:val="00370C51"/>
    <w:rsid w:val="003716F8"/>
    <w:rsid w:val="003813DF"/>
    <w:rsid w:val="003831DD"/>
    <w:rsid w:val="003930DB"/>
    <w:rsid w:val="003965B6"/>
    <w:rsid w:val="003967AD"/>
    <w:rsid w:val="003A5F1D"/>
    <w:rsid w:val="003B0A9A"/>
    <w:rsid w:val="003B7297"/>
    <w:rsid w:val="003B7883"/>
    <w:rsid w:val="003C1E48"/>
    <w:rsid w:val="003C5552"/>
    <w:rsid w:val="003C567F"/>
    <w:rsid w:val="003D094C"/>
    <w:rsid w:val="003E08FC"/>
    <w:rsid w:val="003E0B32"/>
    <w:rsid w:val="003F0762"/>
    <w:rsid w:val="003F1169"/>
    <w:rsid w:val="003F773C"/>
    <w:rsid w:val="004002E5"/>
    <w:rsid w:val="00400602"/>
    <w:rsid w:val="004021FA"/>
    <w:rsid w:val="00402FAA"/>
    <w:rsid w:val="004106EA"/>
    <w:rsid w:val="00411295"/>
    <w:rsid w:val="00414C90"/>
    <w:rsid w:val="00414EB3"/>
    <w:rsid w:val="00423B8C"/>
    <w:rsid w:val="00424B97"/>
    <w:rsid w:val="0042757E"/>
    <w:rsid w:val="00427F4C"/>
    <w:rsid w:val="004340C7"/>
    <w:rsid w:val="00436B95"/>
    <w:rsid w:val="00443984"/>
    <w:rsid w:val="00446633"/>
    <w:rsid w:val="00447050"/>
    <w:rsid w:val="004530C2"/>
    <w:rsid w:val="00460843"/>
    <w:rsid w:val="00461F35"/>
    <w:rsid w:val="004637BA"/>
    <w:rsid w:val="00463C7C"/>
    <w:rsid w:val="00464266"/>
    <w:rsid w:val="00466014"/>
    <w:rsid w:val="00466F17"/>
    <w:rsid w:val="00473213"/>
    <w:rsid w:val="0047609C"/>
    <w:rsid w:val="004810B7"/>
    <w:rsid w:val="004814FE"/>
    <w:rsid w:val="0048214D"/>
    <w:rsid w:val="004824B9"/>
    <w:rsid w:val="00484A3C"/>
    <w:rsid w:val="00496434"/>
    <w:rsid w:val="004A01AC"/>
    <w:rsid w:val="004A1001"/>
    <w:rsid w:val="004A29AF"/>
    <w:rsid w:val="004C143F"/>
    <w:rsid w:val="004C2CCE"/>
    <w:rsid w:val="004C4E2E"/>
    <w:rsid w:val="004C63AB"/>
    <w:rsid w:val="004C72D2"/>
    <w:rsid w:val="004D2392"/>
    <w:rsid w:val="004D2C4F"/>
    <w:rsid w:val="004E4536"/>
    <w:rsid w:val="004E735A"/>
    <w:rsid w:val="004F0ED7"/>
    <w:rsid w:val="004F299C"/>
    <w:rsid w:val="004F631C"/>
    <w:rsid w:val="004F677A"/>
    <w:rsid w:val="004F7E1A"/>
    <w:rsid w:val="005069C2"/>
    <w:rsid w:val="00524364"/>
    <w:rsid w:val="0052441B"/>
    <w:rsid w:val="00524CBF"/>
    <w:rsid w:val="00531737"/>
    <w:rsid w:val="00544961"/>
    <w:rsid w:val="00551F9E"/>
    <w:rsid w:val="005546A3"/>
    <w:rsid w:val="00554A7D"/>
    <w:rsid w:val="00562D3C"/>
    <w:rsid w:val="00570F9B"/>
    <w:rsid w:val="0057150C"/>
    <w:rsid w:val="00573D86"/>
    <w:rsid w:val="00582698"/>
    <w:rsid w:val="00584B09"/>
    <w:rsid w:val="00585278"/>
    <w:rsid w:val="00586350"/>
    <w:rsid w:val="00587AC0"/>
    <w:rsid w:val="005916A9"/>
    <w:rsid w:val="005927B4"/>
    <w:rsid w:val="005927CA"/>
    <w:rsid w:val="005A0138"/>
    <w:rsid w:val="005A3E78"/>
    <w:rsid w:val="005A4F1A"/>
    <w:rsid w:val="005A55F1"/>
    <w:rsid w:val="005A7410"/>
    <w:rsid w:val="005B235A"/>
    <w:rsid w:val="005B690D"/>
    <w:rsid w:val="005C7917"/>
    <w:rsid w:val="005D1B36"/>
    <w:rsid w:val="005D2084"/>
    <w:rsid w:val="005D6130"/>
    <w:rsid w:val="005D656C"/>
    <w:rsid w:val="005E1B28"/>
    <w:rsid w:val="005E693D"/>
    <w:rsid w:val="005F3AB7"/>
    <w:rsid w:val="006041F0"/>
    <w:rsid w:val="006054E9"/>
    <w:rsid w:val="00607110"/>
    <w:rsid w:val="00607F61"/>
    <w:rsid w:val="00620780"/>
    <w:rsid w:val="006226B2"/>
    <w:rsid w:val="00623FF8"/>
    <w:rsid w:val="00637914"/>
    <w:rsid w:val="00640DD9"/>
    <w:rsid w:val="00642130"/>
    <w:rsid w:val="00642FF5"/>
    <w:rsid w:val="00650FA0"/>
    <w:rsid w:val="0065518A"/>
    <w:rsid w:val="00663393"/>
    <w:rsid w:val="00675D96"/>
    <w:rsid w:val="0068444C"/>
    <w:rsid w:val="00684B7A"/>
    <w:rsid w:val="00685779"/>
    <w:rsid w:val="00687588"/>
    <w:rsid w:val="00687739"/>
    <w:rsid w:val="00690E1F"/>
    <w:rsid w:val="00691512"/>
    <w:rsid w:val="006A0BF6"/>
    <w:rsid w:val="006A30FA"/>
    <w:rsid w:val="006A4454"/>
    <w:rsid w:val="006B18D3"/>
    <w:rsid w:val="006C1B80"/>
    <w:rsid w:val="006C23F8"/>
    <w:rsid w:val="006C3C00"/>
    <w:rsid w:val="006C63CB"/>
    <w:rsid w:val="006D0BD4"/>
    <w:rsid w:val="006D3092"/>
    <w:rsid w:val="006E6B90"/>
    <w:rsid w:val="006F0DF1"/>
    <w:rsid w:val="006F4D92"/>
    <w:rsid w:val="00702672"/>
    <w:rsid w:val="007041DC"/>
    <w:rsid w:val="00711CA4"/>
    <w:rsid w:val="00720CA5"/>
    <w:rsid w:val="00721579"/>
    <w:rsid w:val="0072602A"/>
    <w:rsid w:val="00731EB7"/>
    <w:rsid w:val="00732E50"/>
    <w:rsid w:val="00732F10"/>
    <w:rsid w:val="007378C4"/>
    <w:rsid w:val="00740622"/>
    <w:rsid w:val="00741579"/>
    <w:rsid w:val="00750488"/>
    <w:rsid w:val="00754520"/>
    <w:rsid w:val="00757C97"/>
    <w:rsid w:val="007632B6"/>
    <w:rsid w:val="00763C33"/>
    <w:rsid w:val="00766BF9"/>
    <w:rsid w:val="0078206D"/>
    <w:rsid w:val="007822D8"/>
    <w:rsid w:val="0078600F"/>
    <w:rsid w:val="0079378E"/>
    <w:rsid w:val="0079497F"/>
    <w:rsid w:val="007A2590"/>
    <w:rsid w:val="007A69A0"/>
    <w:rsid w:val="007B693B"/>
    <w:rsid w:val="007C40F7"/>
    <w:rsid w:val="007C4FE1"/>
    <w:rsid w:val="007C5343"/>
    <w:rsid w:val="007D179F"/>
    <w:rsid w:val="007D36F5"/>
    <w:rsid w:val="007D4D67"/>
    <w:rsid w:val="007E3134"/>
    <w:rsid w:val="007E65B4"/>
    <w:rsid w:val="007E6D6E"/>
    <w:rsid w:val="007E7849"/>
    <w:rsid w:val="007F5272"/>
    <w:rsid w:val="007F56C9"/>
    <w:rsid w:val="007F7D3D"/>
    <w:rsid w:val="008013B9"/>
    <w:rsid w:val="008064EB"/>
    <w:rsid w:val="00815C5D"/>
    <w:rsid w:val="00817263"/>
    <w:rsid w:val="0082262A"/>
    <w:rsid w:val="0082505E"/>
    <w:rsid w:val="00827D41"/>
    <w:rsid w:val="0083688F"/>
    <w:rsid w:val="00837468"/>
    <w:rsid w:val="00841C27"/>
    <w:rsid w:val="00844DC0"/>
    <w:rsid w:val="008468AD"/>
    <w:rsid w:val="00852C3D"/>
    <w:rsid w:val="00853D80"/>
    <w:rsid w:val="00854639"/>
    <w:rsid w:val="0085714E"/>
    <w:rsid w:val="00857FFE"/>
    <w:rsid w:val="00865BE8"/>
    <w:rsid w:val="008720B3"/>
    <w:rsid w:val="00880F6C"/>
    <w:rsid w:val="008832E8"/>
    <w:rsid w:val="00883B20"/>
    <w:rsid w:val="00884383"/>
    <w:rsid w:val="008A2438"/>
    <w:rsid w:val="008A57F8"/>
    <w:rsid w:val="008A584A"/>
    <w:rsid w:val="008A62B3"/>
    <w:rsid w:val="008C05DD"/>
    <w:rsid w:val="008C102A"/>
    <w:rsid w:val="008C5203"/>
    <w:rsid w:val="008D220A"/>
    <w:rsid w:val="008D5AB6"/>
    <w:rsid w:val="008D774A"/>
    <w:rsid w:val="008E41A8"/>
    <w:rsid w:val="008F07AA"/>
    <w:rsid w:val="00905B62"/>
    <w:rsid w:val="00906073"/>
    <w:rsid w:val="009079B3"/>
    <w:rsid w:val="0091351E"/>
    <w:rsid w:val="0092065A"/>
    <w:rsid w:val="00920C52"/>
    <w:rsid w:val="00923E93"/>
    <w:rsid w:val="00924931"/>
    <w:rsid w:val="00931F72"/>
    <w:rsid w:val="009370D3"/>
    <w:rsid w:val="00946B9D"/>
    <w:rsid w:val="00951894"/>
    <w:rsid w:val="00960B84"/>
    <w:rsid w:val="00960E74"/>
    <w:rsid w:val="00961577"/>
    <w:rsid w:val="00965581"/>
    <w:rsid w:val="00973012"/>
    <w:rsid w:val="00991AD9"/>
    <w:rsid w:val="00994464"/>
    <w:rsid w:val="00997A5C"/>
    <w:rsid w:val="009A7FC2"/>
    <w:rsid w:val="009B01DF"/>
    <w:rsid w:val="009B14F3"/>
    <w:rsid w:val="009B2218"/>
    <w:rsid w:val="009B78D9"/>
    <w:rsid w:val="009C10B5"/>
    <w:rsid w:val="009C19D0"/>
    <w:rsid w:val="009C47CF"/>
    <w:rsid w:val="009D6539"/>
    <w:rsid w:val="009E432C"/>
    <w:rsid w:val="009E53FD"/>
    <w:rsid w:val="009E55DF"/>
    <w:rsid w:val="009F1166"/>
    <w:rsid w:val="00A01436"/>
    <w:rsid w:val="00A05460"/>
    <w:rsid w:val="00A062B1"/>
    <w:rsid w:val="00A109C3"/>
    <w:rsid w:val="00A14C00"/>
    <w:rsid w:val="00A15DFB"/>
    <w:rsid w:val="00A20ABA"/>
    <w:rsid w:val="00A2354C"/>
    <w:rsid w:val="00A25AE7"/>
    <w:rsid w:val="00A328BA"/>
    <w:rsid w:val="00A33F09"/>
    <w:rsid w:val="00A43B1E"/>
    <w:rsid w:val="00A51479"/>
    <w:rsid w:val="00A52CAF"/>
    <w:rsid w:val="00A54B01"/>
    <w:rsid w:val="00A61C32"/>
    <w:rsid w:val="00A6203C"/>
    <w:rsid w:val="00A65A61"/>
    <w:rsid w:val="00A65CCF"/>
    <w:rsid w:val="00A72883"/>
    <w:rsid w:val="00A735C3"/>
    <w:rsid w:val="00A74071"/>
    <w:rsid w:val="00A83E0F"/>
    <w:rsid w:val="00A85CA2"/>
    <w:rsid w:val="00AA4A74"/>
    <w:rsid w:val="00AA6B02"/>
    <w:rsid w:val="00AB08EC"/>
    <w:rsid w:val="00AB6BB1"/>
    <w:rsid w:val="00AC42DB"/>
    <w:rsid w:val="00AC6330"/>
    <w:rsid w:val="00AD5B0C"/>
    <w:rsid w:val="00AD6C19"/>
    <w:rsid w:val="00AD7A04"/>
    <w:rsid w:val="00AE11D4"/>
    <w:rsid w:val="00AE3F54"/>
    <w:rsid w:val="00AE4D64"/>
    <w:rsid w:val="00AE58AB"/>
    <w:rsid w:val="00AF33B2"/>
    <w:rsid w:val="00AF4685"/>
    <w:rsid w:val="00AF5A37"/>
    <w:rsid w:val="00AF5F99"/>
    <w:rsid w:val="00AF6D20"/>
    <w:rsid w:val="00B009F5"/>
    <w:rsid w:val="00B00D10"/>
    <w:rsid w:val="00B03E9C"/>
    <w:rsid w:val="00B047AB"/>
    <w:rsid w:val="00B10D32"/>
    <w:rsid w:val="00B12675"/>
    <w:rsid w:val="00B1448C"/>
    <w:rsid w:val="00B156F6"/>
    <w:rsid w:val="00B15FFC"/>
    <w:rsid w:val="00B16AB5"/>
    <w:rsid w:val="00B20A2D"/>
    <w:rsid w:val="00B2700F"/>
    <w:rsid w:val="00B2735F"/>
    <w:rsid w:val="00B31556"/>
    <w:rsid w:val="00B33298"/>
    <w:rsid w:val="00B35DF4"/>
    <w:rsid w:val="00B36A84"/>
    <w:rsid w:val="00B37719"/>
    <w:rsid w:val="00B44BEA"/>
    <w:rsid w:val="00B45EC6"/>
    <w:rsid w:val="00B516C2"/>
    <w:rsid w:val="00B53EEE"/>
    <w:rsid w:val="00B60467"/>
    <w:rsid w:val="00B63AC5"/>
    <w:rsid w:val="00B63F5A"/>
    <w:rsid w:val="00B6479C"/>
    <w:rsid w:val="00B76DA7"/>
    <w:rsid w:val="00B77634"/>
    <w:rsid w:val="00B81E98"/>
    <w:rsid w:val="00B84F28"/>
    <w:rsid w:val="00B96606"/>
    <w:rsid w:val="00B968E4"/>
    <w:rsid w:val="00B97777"/>
    <w:rsid w:val="00BB0ED6"/>
    <w:rsid w:val="00BB31D2"/>
    <w:rsid w:val="00BC1A0A"/>
    <w:rsid w:val="00BC4701"/>
    <w:rsid w:val="00BC61FF"/>
    <w:rsid w:val="00BD18BD"/>
    <w:rsid w:val="00BD2576"/>
    <w:rsid w:val="00BD36D5"/>
    <w:rsid w:val="00BE0E80"/>
    <w:rsid w:val="00BE203A"/>
    <w:rsid w:val="00BF3275"/>
    <w:rsid w:val="00BF50EA"/>
    <w:rsid w:val="00BF6860"/>
    <w:rsid w:val="00C01C23"/>
    <w:rsid w:val="00C0384E"/>
    <w:rsid w:val="00C042D5"/>
    <w:rsid w:val="00C049AA"/>
    <w:rsid w:val="00C1089D"/>
    <w:rsid w:val="00C12118"/>
    <w:rsid w:val="00C209F2"/>
    <w:rsid w:val="00C21EAA"/>
    <w:rsid w:val="00C42BD8"/>
    <w:rsid w:val="00C43C56"/>
    <w:rsid w:val="00C44A31"/>
    <w:rsid w:val="00C522DA"/>
    <w:rsid w:val="00C62B9B"/>
    <w:rsid w:val="00C67339"/>
    <w:rsid w:val="00C710B3"/>
    <w:rsid w:val="00C84962"/>
    <w:rsid w:val="00C84D84"/>
    <w:rsid w:val="00C90CBD"/>
    <w:rsid w:val="00C91548"/>
    <w:rsid w:val="00C92712"/>
    <w:rsid w:val="00C941F3"/>
    <w:rsid w:val="00C945FB"/>
    <w:rsid w:val="00C94F96"/>
    <w:rsid w:val="00C96032"/>
    <w:rsid w:val="00C96FA2"/>
    <w:rsid w:val="00C972A5"/>
    <w:rsid w:val="00CA393C"/>
    <w:rsid w:val="00CA6260"/>
    <w:rsid w:val="00CA7C57"/>
    <w:rsid w:val="00CB72BB"/>
    <w:rsid w:val="00CC189C"/>
    <w:rsid w:val="00CC319E"/>
    <w:rsid w:val="00CC540A"/>
    <w:rsid w:val="00CD360A"/>
    <w:rsid w:val="00CD4193"/>
    <w:rsid w:val="00CD4B85"/>
    <w:rsid w:val="00CD6FD5"/>
    <w:rsid w:val="00CE417F"/>
    <w:rsid w:val="00CE4D62"/>
    <w:rsid w:val="00CE736C"/>
    <w:rsid w:val="00D071EF"/>
    <w:rsid w:val="00D11324"/>
    <w:rsid w:val="00D14583"/>
    <w:rsid w:val="00D1550D"/>
    <w:rsid w:val="00D172A6"/>
    <w:rsid w:val="00D239DA"/>
    <w:rsid w:val="00D23AD4"/>
    <w:rsid w:val="00D267DF"/>
    <w:rsid w:val="00D27E08"/>
    <w:rsid w:val="00D3137E"/>
    <w:rsid w:val="00D31CC6"/>
    <w:rsid w:val="00D37555"/>
    <w:rsid w:val="00D41EB3"/>
    <w:rsid w:val="00D42E63"/>
    <w:rsid w:val="00D44E96"/>
    <w:rsid w:val="00D455B0"/>
    <w:rsid w:val="00D47E84"/>
    <w:rsid w:val="00D50D43"/>
    <w:rsid w:val="00D54A01"/>
    <w:rsid w:val="00D5642A"/>
    <w:rsid w:val="00D57689"/>
    <w:rsid w:val="00D62BB0"/>
    <w:rsid w:val="00D62FF9"/>
    <w:rsid w:val="00D676AA"/>
    <w:rsid w:val="00D67DEF"/>
    <w:rsid w:val="00D759FD"/>
    <w:rsid w:val="00D75AB3"/>
    <w:rsid w:val="00D76AA7"/>
    <w:rsid w:val="00D773A7"/>
    <w:rsid w:val="00D94B85"/>
    <w:rsid w:val="00D95F98"/>
    <w:rsid w:val="00DA101A"/>
    <w:rsid w:val="00DA22B8"/>
    <w:rsid w:val="00DA502E"/>
    <w:rsid w:val="00DA54C2"/>
    <w:rsid w:val="00DB3341"/>
    <w:rsid w:val="00DB3843"/>
    <w:rsid w:val="00DC3D44"/>
    <w:rsid w:val="00DC426F"/>
    <w:rsid w:val="00DC46EC"/>
    <w:rsid w:val="00DC7005"/>
    <w:rsid w:val="00DD04AB"/>
    <w:rsid w:val="00DD2DE4"/>
    <w:rsid w:val="00DD5F27"/>
    <w:rsid w:val="00DE23F3"/>
    <w:rsid w:val="00DE3CC3"/>
    <w:rsid w:val="00DE3EBD"/>
    <w:rsid w:val="00DE4435"/>
    <w:rsid w:val="00DE4AFE"/>
    <w:rsid w:val="00DE4B29"/>
    <w:rsid w:val="00DE51C9"/>
    <w:rsid w:val="00DE64A1"/>
    <w:rsid w:val="00DE6C8F"/>
    <w:rsid w:val="00DF3AFB"/>
    <w:rsid w:val="00DF48CB"/>
    <w:rsid w:val="00DF6E4D"/>
    <w:rsid w:val="00DF7F01"/>
    <w:rsid w:val="00E03E8F"/>
    <w:rsid w:val="00E056A1"/>
    <w:rsid w:val="00E13342"/>
    <w:rsid w:val="00E1535F"/>
    <w:rsid w:val="00E17D8A"/>
    <w:rsid w:val="00E23D21"/>
    <w:rsid w:val="00E23FE2"/>
    <w:rsid w:val="00E33E95"/>
    <w:rsid w:val="00E35D0F"/>
    <w:rsid w:val="00E40DB4"/>
    <w:rsid w:val="00E42DCC"/>
    <w:rsid w:val="00E43CCE"/>
    <w:rsid w:val="00E574D1"/>
    <w:rsid w:val="00E57D09"/>
    <w:rsid w:val="00E65D7B"/>
    <w:rsid w:val="00E73D10"/>
    <w:rsid w:val="00E7492A"/>
    <w:rsid w:val="00E773D1"/>
    <w:rsid w:val="00E8046B"/>
    <w:rsid w:val="00E82532"/>
    <w:rsid w:val="00E84577"/>
    <w:rsid w:val="00E849EC"/>
    <w:rsid w:val="00E90512"/>
    <w:rsid w:val="00E91889"/>
    <w:rsid w:val="00E93278"/>
    <w:rsid w:val="00E94AFC"/>
    <w:rsid w:val="00EA71BB"/>
    <w:rsid w:val="00EB2A96"/>
    <w:rsid w:val="00EC314A"/>
    <w:rsid w:val="00EC3D5F"/>
    <w:rsid w:val="00EC4780"/>
    <w:rsid w:val="00EC4A9B"/>
    <w:rsid w:val="00EC58F1"/>
    <w:rsid w:val="00ED0942"/>
    <w:rsid w:val="00EE750C"/>
    <w:rsid w:val="00EE7633"/>
    <w:rsid w:val="00EF70EF"/>
    <w:rsid w:val="00F05DA1"/>
    <w:rsid w:val="00F06CF6"/>
    <w:rsid w:val="00F07981"/>
    <w:rsid w:val="00F12FB4"/>
    <w:rsid w:val="00F1311D"/>
    <w:rsid w:val="00F14CB7"/>
    <w:rsid w:val="00F163D0"/>
    <w:rsid w:val="00F21694"/>
    <w:rsid w:val="00F268DD"/>
    <w:rsid w:val="00F30D58"/>
    <w:rsid w:val="00F32775"/>
    <w:rsid w:val="00F3342B"/>
    <w:rsid w:val="00F34A5A"/>
    <w:rsid w:val="00F37BC3"/>
    <w:rsid w:val="00F432CB"/>
    <w:rsid w:val="00F4337C"/>
    <w:rsid w:val="00F50570"/>
    <w:rsid w:val="00F6430D"/>
    <w:rsid w:val="00F71E27"/>
    <w:rsid w:val="00F76858"/>
    <w:rsid w:val="00F81F42"/>
    <w:rsid w:val="00F82111"/>
    <w:rsid w:val="00F86AA2"/>
    <w:rsid w:val="00F86F88"/>
    <w:rsid w:val="00F875DD"/>
    <w:rsid w:val="00F91202"/>
    <w:rsid w:val="00FB5962"/>
    <w:rsid w:val="00FB687F"/>
    <w:rsid w:val="00FB6E49"/>
    <w:rsid w:val="00FC1EE8"/>
    <w:rsid w:val="00FC2C17"/>
    <w:rsid w:val="00FC4CE3"/>
    <w:rsid w:val="00FC7008"/>
    <w:rsid w:val="00FD6914"/>
    <w:rsid w:val="00FE0B9F"/>
    <w:rsid w:val="00FE2110"/>
    <w:rsid w:val="00FE3872"/>
    <w:rsid w:val="00FE3A4F"/>
    <w:rsid w:val="00FE7F6F"/>
    <w:rsid w:val="00FF2F3E"/>
    <w:rsid w:val="00FF333A"/>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68C5"/>
  <w15:docId w15:val="{CFB7F46D-1C35-466C-9D76-7961E44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basedOn w:val="a"/>
    <w:uiPriority w:val="34"/>
    <w:qFormat/>
    <w:rsid w:val="00A83E0F"/>
    <w:pPr>
      <w:ind w:left="720"/>
      <w:contextualSpacing/>
    </w:pPr>
  </w:style>
  <w:style w:type="paragraph" w:styleId="a7">
    <w:name w:val="header"/>
    <w:basedOn w:val="a"/>
    <w:link w:val="a8"/>
    <w:uiPriority w:val="99"/>
    <w:unhideWhenUsed/>
    <w:rsid w:val="00FB6E49"/>
    <w:pPr>
      <w:tabs>
        <w:tab w:val="center" w:pos="4677"/>
        <w:tab w:val="right" w:pos="9355"/>
      </w:tabs>
    </w:pPr>
  </w:style>
  <w:style w:type="character" w:customStyle="1" w:styleId="a8">
    <w:name w:val="Верхний колонтитул Знак"/>
    <w:basedOn w:val="a0"/>
    <w:link w:val="a7"/>
    <w:uiPriority w:val="99"/>
    <w:rsid w:val="00FB6E49"/>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FB6E49"/>
    <w:pPr>
      <w:tabs>
        <w:tab w:val="center" w:pos="4677"/>
        <w:tab w:val="right" w:pos="9355"/>
      </w:tabs>
    </w:pPr>
  </w:style>
  <w:style w:type="character" w:customStyle="1" w:styleId="aa">
    <w:name w:val="Нижний колонтитул Знак"/>
    <w:basedOn w:val="a0"/>
    <w:link w:val="a9"/>
    <w:uiPriority w:val="99"/>
    <w:rsid w:val="00FB6E49"/>
    <w:rPr>
      <w:rFonts w:ascii="Times New Roman" w:eastAsia="Times New Roman" w:hAnsi="Times New Roman" w:cs="Times New Roman"/>
      <w:sz w:val="28"/>
      <w:szCs w:val="20"/>
      <w:lang w:eastAsia="ru-RU"/>
    </w:rPr>
  </w:style>
  <w:style w:type="paragraph" w:styleId="ab">
    <w:name w:val="Body Text"/>
    <w:basedOn w:val="a"/>
    <w:link w:val="ac"/>
    <w:unhideWhenUsed/>
    <w:rsid w:val="003B7297"/>
    <w:pPr>
      <w:spacing w:after="120"/>
    </w:pPr>
  </w:style>
  <w:style w:type="character" w:customStyle="1" w:styleId="ac">
    <w:name w:val="Основной текст Знак"/>
    <w:basedOn w:val="a0"/>
    <w:link w:val="ab"/>
    <w:rsid w:val="003B7297"/>
    <w:rPr>
      <w:rFonts w:ascii="Times New Roman" w:eastAsia="Times New Roman" w:hAnsi="Times New Roman" w:cs="Times New Roman"/>
      <w:sz w:val="28"/>
      <w:szCs w:val="20"/>
      <w:lang w:eastAsia="ru-RU"/>
    </w:rPr>
  </w:style>
  <w:style w:type="numbering" w:customStyle="1" w:styleId="1">
    <w:name w:val="Нет списка1"/>
    <w:next w:val="a2"/>
    <w:uiPriority w:val="99"/>
    <w:semiHidden/>
    <w:unhideWhenUsed/>
    <w:rsid w:val="00991AD9"/>
  </w:style>
  <w:style w:type="paragraph" w:styleId="ad">
    <w:name w:val="endnote text"/>
    <w:basedOn w:val="a"/>
    <w:link w:val="ae"/>
    <w:uiPriority w:val="99"/>
    <w:semiHidden/>
    <w:unhideWhenUsed/>
    <w:rsid w:val="00FC4CE3"/>
    <w:rPr>
      <w:sz w:val="20"/>
    </w:rPr>
  </w:style>
  <w:style w:type="character" w:customStyle="1" w:styleId="ae">
    <w:name w:val="Текст концевой сноски Знак"/>
    <w:basedOn w:val="a0"/>
    <w:link w:val="ad"/>
    <w:uiPriority w:val="99"/>
    <w:semiHidden/>
    <w:rsid w:val="00FC4CE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FC4CE3"/>
    <w:rPr>
      <w:vertAlign w:val="superscript"/>
    </w:rPr>
  </w:style>
  <w:style w:type="character" w:styleId="af0">
    <w:name w:val="annotation reference"/>
    <w:basedOn w:val="a0"/>
    <w:uiPriority w:val="99"/>
    <w:semiHidden/>
    <w:unhideWhenUsed/>
    <w:rsid w:val="00FC4CE3"/>
    <w:rPr>
      <w:sz w:val="16"/>
      <w:szCs w:val="16"/>
    </w:rPr>
  </w:style>
  <w:style w:type="paragraph" w:styleId="af1">
    <w:name w:val="annotation text"/>
    <w:basedOn w:val="a"/>
    <w:link w:val="af2"/>
    <w:uiPriority w:val="99"/>
    <w:semiHidden/>
    <w:unhideWhenUsed/>
    <w:rsid w:val="00FC4CE3"/>
    <w:rPr>
      <w:sz w:val="20"/>
    </w:rPr>
  </w:style>
  <w:style w:type="character" w:customStyle="1" w:styleId="af2">
    <w:name w:val="Текст примечания Знак"/>
    <w:basedOn w:val="a0"/>
    <w:link w:val="af1"/>
    <w:uiPriority w:val="99"/>
    <w:semiHidden/>
    <w:rsid w:val="00FC4CE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C4CE3"/>
    <w:rPr>
      <w:b/>
      <w:bCs/>
    </w:rPr>
  </w:style>
  <w:style w:type="character" w:customStyle="1" w:styleId="af4">
    <w:name w:val="Тема примечания Знак"/>
    <w:basedOn w:val="af2"/>
    <w:link w:val="af3"/>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5">
    <w:name w:val="Normal (Web)"/>
    <w:basedOn w:val="a"/>
    <w:uiPriority w:val="99"/>
    <w:unhideWhenUsed/>
    <w:rsid w:val="00FC1EE8"/>
    <w:pPr>
      <w:spacing w:before="100" w:beforeAutospacing="1" w:after="100" w:afterAutospacing="1"/>
    </w:pPr>
    <w:rPr>
      <w:sz w:val="24"/>
      <w:szCs w:val="24"/>
    </w:rPr>
  </w:style>
  <w:style w:type="character" w:customStyle="1" w:styleId="FontStyle17">
    <w:name w:val="Font Style17"/>
    <w:rsid w:val="00084B39"/>
    <w:rPr>
      <w:rFonts w:ascii="Times New Roman" w:hAnsi="Times New Roman" w:cs="Times New Roman"/>
      <w:color w:val="000000"/>
      <w:sz w:val="22"/>
      <w:szCs w:val="22"/>
    </w:rPr>
  </w:style>
  <w:style w:type="character" w:customStyle="1" w:styleId="20pt">
    <w:name w:val="Основной текст (2) + 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3pt0pt">
    <w:name w:val="Основной текст (2) + 13 pt;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NormalANX">
    <w:name w:val="NormalANX"/>
    <w:basedOn w:val="a"/>
    <w:uiPriority w:val="99"/>
    <w:rsid w:val="00CD4B85"/>
    <w:pPr>
      <w:spacing w:before="240" w:after="240" w:line="36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0944">
      <w:bodyDiv w:val="1"/>
      <w:marLeft w:val="0"/>
      <w:marRight w:val="0"/>
      <w:marTop w:val="0"/>
      <w:marBottom w:val="0"/>
      <w:divBdr>
        <w:top w:val="none" w:sz="0" w:space="0" w:color="auto"/>
        <w:left w:val="none" w:sz="0" w:space="0" w:color="auto"/>
        <w:bottom w:val="none" w:sz="0" w:space="0" w:color="auto"/>
        <w:right w:val="none" w:sz="0" w:space="0" w:color="auto"/>
      </w:divBdr>
    </w:div>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623081166">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80346537">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44795551">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1D68-D570-4F2B-AE75-8E39469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32</Pages>
  <Words>12240</Words>
  <Characters>69768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81845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dc:creator>
  <cp:lastModifiedBy>Abramova</cp:lastModifiedBy>
  <cp:revision>73</cp:revision>
  <cp:lastPrinted>2018-10-18T13:47:00Z</cp:lastPrinted>
  <dcterms:created xsi:type="dcterms:W3CDTF">2017-10-19T15:01:00Z</dcterms:created>
  <dcterms:modified xsi:type="dcterms:W3CDTF">2018-10-18T13:47:00Z</dcterms:modified>
</cp:coreProperties>
</file>